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5E9B86" w14:textId="17CD3AB7" w:rsidR="003B2DB7" w:rsidRPr="00BC699E" w:rsidRDefault="003B2DB7" w:rsidP="003B2DB7">
      <w:pPr>
        <w:pStyle w:val="CRCoverPage"/>
        <w:outlineLvl w:val="0"/>
        <w:rPr>
          <w:rFonts w:hint="eastAsia"/>
          <w:b/>
        </w:rPr>
      </w:pPr>
      <w:bookmarkStart w:id="0" w:name="OLE_LINK138"/>
      <w:bookmarkStart w:id="1" w:name="OLE_LINK137"/>
      <w:r>
        <w:rPr>
          <w:b/>
          <w:sz w:val="24"/>
        </w:rPr>
        <w:t>3GPP TSG-RAN WG4 Meeting #115</w:t>
      </w:r>
      <w:r>
        <w:rPr>
          <w:b/>
          <w:sz w:val="24"/>
        </w:rPr>
        <w:tab/>
        <w:t xml:space="preserve">              </w:t>
      </w:r>
      <w:r w:rsidR="00BC699E">
        <w:rPr>
          <w:rFonts w:hint="eastAsia"/>
          <w:b/>
          <w:sz w:val="24"/>
        </w:rPr>
        <w:t xml:space="preserve">    </w:t>
      </w:r>
      <w:r>
        <w:rPr>
          <w:b/>
          <w:sz w:val="24"/>
        </w:rPr>
        <w:t xml:space="preserve">                     </w:t>
      </w:r>
      <w:r>
        <w:rPr>
          <w:rFonts w:hint="eastAsia"/>
          <w:b/>
          <w:sz w:val="24"/>
        </w:rPr>
        <w:t xml:space="preserve">          </w:t>
      </w:r>
      <w:r>
        <w:rPr>
          <w:b/>
          <w:sz w:val="24"/>
        </w:rPr>
        <w:t xml:space="preserve">   </w:t>
      </w:r>
      <w:r>
        <w:rPr>
          <w:b/>
          <w:sz w:val="24"/>
        </w:rPr>
        <w:tab/>
        <w:t xml:space="preserve">     </w:t>
      </w:r>
      <w:r w:rsidR="00BC699E">
        <w:rPr>
          <w:rFonts w:hint="eastAsia"/>
          <w:b/>
          <w:sz w:val="24"/>
        </w:rPr>
        <w:t xml:space="preserve">   </w:t>
      </w:r>
      <w:r w:rsidR="00BC699E" w:rsidRPr="00BC699E">
        <w:rPr>
          <w:b/>
        </w:rPr>
        <w:t>R4-2505875</w:t>
      </w:r>
    </w:p>
    <w:p w14:paraId="660F664A" w14:textId="3AC13189" w:rsidR="00E310D5" w:rsidRPr="003B2DB7" w:rsidRDefault="003B2DB7" w:rsidP="003B2DB7">
      <w:pPr>
        <w:pStyle w:val="CRCoverPage"/>
        <w:spacing w:afterLines="50"/>
        <w:outlineLvl w:val="0"/>
        <w:rPr>
          <w:b/>
          <w:sz w:val="24"/>
        </w:rPr>
      </w:pPr>
      <w:r>
        <w:rPr>
          <w:b/>
          <w:sz w:val="24"/>
        </w:rPr>
        <w:t>Malta, MT, 19 – 23 May, 2025</w:t>
      </w:r>
      <w:r w:rsidRPr="001340BE">
        <w:rPr>
          <w:rFonts w:cs="Arial"/>
          <w:szCs w:val="24"/>
          <w:lang w:val="en-US"/>
        </w:rPr>
        <w:tab/>
      </w:r>
      <w:r w:rsidR="004552DD" w:rsidRPr="00EE49AB">
        <w:rPr>
          <w:rFonts w:cs="Arial"/>
          <w:szCs w:val="24"/>
          <w:lang w:val="en-US"/>
        </w:rPr>
        <w:tab/>
      </w:r>
    </w:p>
    <w:p w14:paraId="77D424C8" w14:textId="77777777" w:rsidR="00E310D5" w:rsidRPr="00EE49AB" w:rsidRDefault="00E310D5">
      <w:pPr>
        <w:pStyle w:val="3GPPHeader"/>
        <w:rPr>
          <w:rFonts w:ascii="Arial" w:hAnsi="Arial" w:cs="Arial"/>
          <w:color w:val="FF0000"/>
          <w:lang w:val="en-US" w:eastAsia="zh-TW"/>
        </w:rPr>
      </w:pPr>
    </w:p>
    <w:p w14:paraId="20940F2F" w14:textId="130DBB58" w:rsidR="00E310D5" w:rsidRPr="006276E0" w:rsidRDefault="004552DD">
      <w:pPr>
        <w:pStyle w:val="3GPPHeader"/>
        <w:rPr>
          <w:rFonts w:ascii="Arial" w:hAnsi="Arial" w:cs="Arial"/>
          <w:lang w:val="en-CN"/>
        </w:rPr>
      </w:pPr>
      <w:r w:rsidRPr="00EE49AB">
        <w:rPr>
          <w:rFonts w:ascii="Arial" w:hAnsi="Arial" w:cs="Arial"/>
          <w:lang w:val="en-US"/>
        </w:rPr>
        <w:t>Agenda Item:</w:t>
      </w:r>
      <w:r w:rsidRPr="00EE49AB">
        <w:rPr>
          <w:rFonts w:ascii="Arial" w:hAnsi="Arial" w:cs="Arial"/>
          <w:lang w:val="en-US"/>
        </w:rPr>
        <w:tab/>
      </w:r>
      <w:r w:rsidR="006276E0" w:rsidRPr="006276E0">
        <w:rPr>
          <w:rFonts w:ascii="Arial" w:hAnsi="Arial" w:cs="Arial"/>
          <w:lang w:val="en-CN"/>
        </w:rPr>
        <w:t>7.2</w:t>
      </w:r>
      <w:r w:rsidR="00BB403A">
        <w:rPr>
          <w:rFonts w:ascii="Arial" w:hAnsi="Arial" w:cs="Arial"/>
          <w:lang w:val="en-CN"/>
        </w:rPr>
        <w:t>9</w:t>
      </w:r>
      <w:r w:rsidR="006276E0" w:rsidRPr="006276E0">
        <w:rPr>
          <w:rFonts w:ascii="Arial" w:hAnsi="Arial" w:cs="Arial"/>
          <w:lang w:val="en-CN"/>
        </w:rPr>
        <w:t>.</w:t>
      </w:r>
      <w:r w:rsidR="00BB403A">
        <w:rPr>
          <w:rFonts w:ascii="Arial" w:hAnsi="Arial" w:cs="Arial"/>
          <w:lang w:val="en-CN"/>
        </w:rPr>
        <w:t>3</w:t>
      </w:r>
      <w:r w:rsidR="006276E0" w:rsidRPr="006276E0">
        <w:rPr>
          <w:rFonts w:ascii="Arial" w:hAnsi="Arial" w:cs="Arial"/>
          <w:lang w:val="en-CN"/>
        </w:rPr>
        <w:t>.1</w:t>
      </w:r>
    </w:p>
    <w:p w14:paraId="6B1741BB" w14:textId="5EFA0B03" w:rsidR="00E310D5" w:rsidRPr="00EE49AB" w:rsidRDefault="004552DD">
      <w:pPr>
        <w:pStyle w:val="3GPPHeader"/>
        <w:rPr>
          <w:rFonts w:ascii="Arial" w:hAnsi="Arial" w:cs="Arial"/>
          <w:lang w:val="en-US"/>
        </w:rPr>
      </w:pPr>
      <w:r w:rsidRPr="00EE49AB">
        <w:rPr>
          <w:rFonts w:ascii="Arial" w:hAnsi="Arial" w:cs="Arial"/>
          <w:lang w:val="en-US"/>
        </w:rPr>
        <w:t xml:space="preserve">Source: </w:t>
      </w:r>
      <w:r w:rsidRPr="00EE49AB">
        <w:rPr>
          <w:rFonts w:ascii="Arial" w:hAnsi="Arial" w:cs="Arial"/>
          <w:lang w:val="en-US"/>
        </w:rPr>
        <w:tab/>
        <w:t>Apple</w:t>
      </w:r>
    </w:p>
    <w:p w14:paraId="263C503D" w14:textId="72DEE9E2" w:rsidR="00B53F71" w:rsidRPr="00B53F71" w:rsidRDefault="004552DD" w:rsidP="00B53F71">
      <w:pPr>
        <w:pStyle w:val="3GPPHeaderArial"/>
        <w:tabs>
          <w:tab w:val="left" w:pos="1701"/>
        </w:tabs>
        <w:ind w:left="1701" w:hanging="1701"/>
        <w:rPr>
          <w:b/>
        </w:rPr>
      </w:pPr>
      <w:r w:rsidRPr="00EE49AB">
        <w:rPr>
          <w:b/>
        </w:rPr>
        <w:t>Title:</w:t>
      </w:r>
      <w:r w:rsidRPr="00EE49AB">
        <w:rPr>
          <w:b/>
        </w:rPr>
        <w:tab/>
      </w:r>
      <w:r w:rsidR="00B53F71" w:rsidRPr="00B53F71">
        <w:rPr>
          <w:b/>
        </w:rPr>
        <w:t>Discussion on event triggered L1 measurement reporting</w:t>
      </w:r>
    </w:p>
    <w:p w14:paraId="4F3BE61D" w14:textId="77777777" w:rsidR="00E310D5" w:rsidRPr="00EE49AB" w:rsidRDefault="00E310D5">
      <w:pPr>
        <w:pStyle w:val="3GPPHeaderArial"/>
        <w:tabs>
          <w:tab w:val="left" w:pos="1701"/>
        </w:tabs>
        <w:rPr>
          <w:b/>
          <w:lang w:eastAsia="zh-TW"/>
        </w:rPr>
      </w:pPr>
    </w:p>
    <w:p w14:paraId="47F7C6F8" w14:textId="48E636E8" w:rsidR="00E310D5" w:rsidRPr="00EE49AB" w:rsidRDefault="004552DD">
      <w:pPr>
        <w:pStyle w:val="3GPPHeader"/>
        <w:rPr>
          <w:rFonts w:ascii="Arial" w:hAnsi="Arial" w:cs="Arial"/>
          <w:lang w:val="en-US"/>
        </w:rPr>
      </w:pPr>
      <w:r w:rsidRPr="00EE49AB">
        <w:rPr>
          <w:rFonts w:ascii="Arial" w:hAnsi="Arial" w:cs="Arial"/>
          <w:lang w:val="en-US"/>
        </w:rPr>
        <w:t>Document for:</w:t>
      </w:r>
      <w:r w:rsidR="00B125DE" w:rsidRPr="00EE49AB">
        <w:rPr>
          <w:rFonts w:ascii="Arial" w:hAnsi="Arial" w:cs="Arial"/>
          <w:lang w:val="en-US"/>
        </w:rPr>
        <w:tab/>
      </w:r>
      <w:r w:rsidR="006023D3">
        <w:rPr>
          <w:rFonts w:ascii="Arial" w:hAnsi="Arial" w:cs="Arial"/>
          <w:lang w:val="en-US"/>
        </w:rPr>
        <w:t>Discussion</w:t>
      </w:r>
      <w:r w:rsidR="00B125DE" w:rsidRPr="00EE49AB">
        <w:rPr>
          <w:rFonts w:ascii="Arial" w:hAnsi="Arial" w:cs="Arial"/>
          <w:lang w:val="en-US"/>
        </w:rPr>
        <w:t xml:space="preserve"> </w:t>
      </w:r>
    </w:p>
    <w:p w14:paraId="0798E92C" w14:textId="77777777" w:rsidR="00E310D5" w:rsidRPr="00EE49AB" w:rsidRDefault="004552DD">
      <w:pPr>
        <w:pStyle w:val="Heading1"/>
        <w:overflowPunct w:val="0"/>
        <w:autoSpaceDE w:val="0"/>
        <w:autoSpaceDN w:val="0"/>
        <w:adjustRightInd w:val="0"/>
        <w:rPr>
          <w:rFonts w:eastAsia="PMingLiU" w:cs="Arial"/>
          <w:lang w:val="en-US"/>
        </w:rPr>
      </w:pPr>
      <w:r w:rsidRPr="00EE49AB">
        <w:rPr>
          <w:rFonts w:eastAsia="PMingLiU" w:cs="Arial"/>
          <w:lang w:val="en-US"/>
        </w:rPr>
        <w:t>Introduction</w:t>
      </w:r>
      <w:bookmarkStart w:id="2" w:name="OLE_LINK39"/>
      <w:bookmarkStart w:id="3" w:name="OLE_LINK37"/>
      <w:bookmarkStart w:id="4" w:name="OLE_LINK38"/>
    </w:p>
    <w:bookmarkEnd w:id="2"/>
    <w:bookmarkEnd w:id="3"/>
    <w:bookmarkEnd w:id="4"/>
    <w:p w14:paraId="4D0B89A1" w14:textId="5ACB3BA6" w:rsidR="00DF3439" w:rsidRPr="00976D7B" w:rsidRDefault="00976D7B">
      <w:pPr>
        <w:spacing w:before="120" w:after="120"/>
        <w:jc w:val="both"/>
      </w:pPr>
      <w:r>
        <w:t>L1 event triggered measurement reporting</w:t>
      </w:r>
      <w:r w:rsidR="00B52912" w:rsidRPr="00EE49AB">
        <w:t xml:space="preserve"> </w:t>
      </w:r>
      <w:r w:rsidR="000C3F69" w:rsidRPr="00EE49AB">
        <w:t xml:space="preserve">has been widely discussed in previous RAN4 meeting. </w:t>
      </w:r>
      <w:r w:rsidR="00C77C7A" w:rsidRPr="00EE49AB">
        <w:t>The latest agreements can be found in [1]</w:t>
      </w:r>
      <w:r w:rsidR="0029611A" w:rsidRPr="00EE49AB">
        <w:t xml:space="preserve">, according to which there are quite many open issues. </w:t>
      </w:r>
      <w:r w:rsidR="00373FBE" w:rsidRPr="00EE49AB">
        <w:t>In this contribution, we continue discussing the open issues.</w:t>
      </w:r>
    </w:p>
    <w:p w14:paraId="05EC175E" w14:textId="77777777" w:rsidR="009C79FE" w:rsidRDefault="009C79FE" w:rsidP="009C79FE">
      <w:pPr>
        <w:pStyle w:val="Heading1"/>
        <w:overflowPunct w:val="0"/>
        <w:autoSpaceDE w:val="0"/>
        <w:autoSpaceDN w:val="0"/>
        <w:adjustRightInd w:val="0"/>
        <w:spacing w:before="0" w:after="120"/>
        <w:rPr>
          <w:rFonts w:eastAsia="PMingLiU" w:cs="Arial"/>
          <w:lang w:val="en-US"/>
        </w:rPr>
      </w:pPr>
      <w:r w:rsidRPr="00EE49AB">
        <w:rPr>
          <w:rFonts w:eastAsia="PMingLiU" w:cs="Arial"/>
          <w:lang w:val="en-US"/>
        </w:rPr>
        <w:t>Discussion</w:t>
      </w:r>
    </w:p>
    <w:p w14:paraId="7394D7E4" w14:textId="77777777" w:rsidR="00AE3354" w:rsidRPr="008611D4" w:rsidRDefault="00AE3354" w:rsidP="00AE3354">
      <w:pPr>
        <w:pStyle w:val="Heading4"/>
        <w:numPr>
          <w:ilvl w:val="0"/>
          <w:numId w:val="0"/>
        </w:numPr>
        <w:rPr>
          <w:lang w:val="en-US"/>
        </w:rPr>
      </w:pPr>
      <w:r w:rsidRPr="008611D4">
        <w:rPr>
          <w:lang w:val="en-US"/>
        </w:rPr>
        <w:t>Issue 2-1: applicability of L1-RSRP reporting delay</w:t>
      </w:r>
    </w:p>
    <w:p w14:paraId="302B4296" w14:textId="77777777" w:rsidR="00AE3354" w:rsidRPr="008611D4" w:rsidRDefault="00AE3354" w:rsidP="00AE3354">
      <w:pPr>
        <w:spacing w:after="120"/>
        <w:rPr>
          <w:b/>
          <w:bCs/>
          <w:color w:val="000000" w:themeColor="text1"/>
        </w:rPr>
      </w:pPr>
      <w:r w:rsidRPr="008611D4">
        <w:rPr>
          <w:b/>
          <w:bCs/>
          <w:color w:val="000000" w:themeColor="text1"/>
        </w:rPr>
        <w:t>Candidate options:</w:t>
      </w:r>
    </w:p>
    <w:p w14:paraId="06A6389B" w14:textId="77777777" w:rsidR="00AE3354" w:rsidRPr="008611D4" w:rsidRDefault="00AE3354" w:rsidP="00AE3354">
      <w:pPr>
        <w:pStyle w:val="ListParagraph"/>
        <w:numPr>
          <w:ilvl w:val="0"/>
          <w:numId w:val="67"/>
        </w:numPr>
        <w:spacing w:after="120"/>
        <w:contextualSpacing w:val="0"/>
        <w:rPr>
          <w:color w:val="000000" w:themeColor="text1"/>
        </w:rPr>
      </w:pPr>
      <w:r w:rsidRPr="008611D4">
        <w:rPr>
          <w:color w:val="000000" w:themeColor="text1"/>
        </w:rPr>
        <w:t>Option 1: (vivo)</w:t>
      </w:r>
    </w:p>
    <w:p w14:paraId="31D64A0E" w14:textId="77777777" w:rsidR="00AE3354" w:rsidRPr="008611D4" w:rsidRDefault="00AE3354" w:rsidP="00AE3354">
      <w:pPr>
        <w:pStyle w:val="ListParagraph"/>
        <w:numPr>
          <w:ilvl w:val="1"/>
          <w:numId w:val="67"/>
        </w:numPr>
        <w:spacing w:after="120"/>
        <w:contextualSpacing w:val="0"/>
        <w:rPr>
          <w:bCs/>
          <w:color w:val="000000" w:themeColor="text1"/>
        </w:rPr>
      </w:pPr>
      <w:r w:rsidRPr="008611D4">
        <w:rPr>
          <w:bCs/>
          <w:color w:val="000000" w:themeColor="text1"/>
        </w:rPr>
        <w:t>RAN4 starts the discussion on L1-RSRP reporting delay with the follow assumptions:</w:t>
      </w:r>
    </w:p>
    <w:p w14:paraId="04E3DA53" w14:textId="77777777" w:rsidR="00AE3354" w:rsidRPr="008611D4" w:rsidRDefault="00AE3354" w:rsidP="00AE3354">
      <w:pPr>
        <w:pStyle w:val="ListParagraph"/>
        <w:numPr>
          <w:ilvl w:val="2"/>
          <w:numId w:val="67"/>
        </w:numPr>
        <w:spacing w:after="120"/>
        <w:contextualSpacing w:val="0"/>
        <w:rPr>
          <w:bCs/>
          <w:color w:val="000000" w:themeColor="text1"/>
        </w:rPr>
      </w:pPr>
      <w:r w:rsidRPr="008611D4">
        <w:rPr>
          <w:bCs/>
          <w:color w:val="000000" w:themeColor="text1"/>
        </w:rPr>
        <w:t>No indicate TCI change during the evaluation period.</w:t>
      </w:r>
    </w:p>
    <w:p w14:paraId="343B5076" w14:textId="77777777" w:rsidR="00AE3354" w:rsidRPr="008611D4" w:rsidRDefault="00AE3354" w:rsidP="00AE3354">
      <w:pPr>
        <w:pStyle w:val="ListParagraph"/>
        <w:numPr>
          <w:ilvl w:val="2"/>
          <w:numId w:val="67"/>
        </w:numPr>
        <w:spacing w:after="120"/>
        <w:contextualSpacing w:val="0"/>
        <w:rPr>
          <w:bCs/>
          <w:color w:val="000000" w:themeColor="text1"/>
        </w:rPr>
      </w:pPr>
      <w:r w:rsidRPr="008611D4">
        <w:rPr>
          <w:bCs/>
          <w:color w:val="000000" w:themeColor="text1"/>
        </w:rPr>
        <w:t>No configuration change w.r.t measurement RS during the evaluation period</w:t>
      </w:r>
    </w:p>
    <w:p w14:paraId="628A7C15" w14:textId="77777777" w:rsidR="00AE3354" w:rsidRDefault="00AE3354" w:rsidP="00AE3354">
      <w:pPr>
        <w:pStyle w:val="ListParagraph"/>
        <w:numPr>
          <w:ilvl w:val="2"/>
          <w:numId w:val="67"/>
        </w:numPr>
        <w:spacing w:after="120"/>
        <w:contextualSpacing w:val="0"/>
        <w:rPr>
          <w:bCs/>
          <w:color w:val="000000" w:themeColor="text1"/>
        </w:rPr>
      </w:pPr>
      <w:r w:rsidRPr="008611D4">
        <w:rPr>
          <w:bCs/>
          <w:color w:val="000000" w:themeColor="text1"/>
        </w:rPr>
        <w:t>After the condition that would trigger the event takes effect, the condition is assumed to be fixed during the whole L1 measurement period</w:t>
      </w:r>
    </w:p>
    <w:p w14:paraId="75C71AD3" w14:textId="77777777" w:rsidR="00AE3354" w:rsidRDefault="00AE3354" w:rsidP="00AE3354">
      <w:pPr>
        <w:pStyle w:val="ListParagraph"/>
        <w:numPr>
          <w:ilvl w:val="0"/>
          <w:numId w:val="67"/>
        </w:numPr>
        <w:spacing w:after="120"/>
        <w:contextualSpacing w:val="0"/>
        <w:rPr>
          <w:bCs/>
          <w:color w:val="000000" w:themeColor="text1"/>
        </w:rPr>
      </w:pPr>
      <w:r>
        <w:rPr>
          <w:bCs/>
          <w:color w:val="000000" w:themeColor="text1"/>
        </w:rPr>
        <w:t>Option 2 (Apple)</w:t>
      </w:r>
    </w:p>
    <w:p w14:paraId="725D11C0" w14:textId="77777777" w:rsidR="00AE3354" w:rsidRPr="000A760C" w:rsidRDefault="00AE3354" w:rsidP="00AE3354">
      <w:pPr>
        <w:pStyle w:val="ListParagraph"/>
        <w:numPr>
          <w:ilvl w:val="1"/>
          <w:numId w:val="67"/>
        </w:numPr>
        <w:spacing w:after="120"/>
        <w:contextualSpacing w:val="0"/>
        <w:rPr>
          <w:color w:val="000000" w:themeColor="text1"/>
        </w:rPr>
      </w:pPr>
      <w:r>
        <w:rPr>
          <w:color w:val="000000" w:themeColor="text1"/>
        </w:rPr>
        <w:t>S</w:t>
      </w:r>
      <w:r w:rsidRPr="00986867">
        <w:rPr>
          <w:color w:val="000000" w:themeColor="text1"/>
        </w:rPr>
        <w:t xml:space="preserve">eems no need to capture assumptions listed under </w:t>
      </w:r>
      <w:r>
        <w:rPr>
          <w:color w:val="000000" w:themeColor="text1"/>
        </w:rPr>
        <w:t>option-</w:t>
      </w:r>
      <w:r w:rsidRPr="00986867">
        <w:rPr>
          <w:color w:val="000000" w:themeColor="text1"/>
        </w:rPr>
        <w:t>1 into core requirements.</w:t>
      </w:r>
    </w:p>
    <w:p w14:paraId="0F9B2A4D" w14:textId="15E1C779" w:rsidR="00BD2288" w:rsidRDefault="00450733" w:rsidP="00BD2288">
      <w:pPr>
        <w:rPr>
          <w:bCs/>
          <w:color w:val="000000" w:themeColor="text1"/>
          <w:lang w:val="en-US"/>
        </w:rPr>
      </w:pPr>
      <w:r>
        <w:rPr>
          <w:rFonts w:eastAsia="PMingLiU"/>
          <w:lang w:val="en-US" w:eastAsia="en-US"/>
        </w:rPr>
        <w:t xml:space="preserve">We understand the concern and motivation from vivo regarding the above side conditions from UE side. </w:t>
      </w:r>
      <w:r w:rsidR="00635005">
        <w:rPr>
          <w:rFonts w:eastAsia="PMingLiU"/>
          <w:lang w:val="en-US" w:eastAsia="en-US"/>
        </w:rPr>
        <w:t xml:space="preserve">However, </w:t>
      </w:r>
      <w:r w:rsidR="00024E81">
        <w:rPr>
          <w:rFonts w:eastAsia="PMingLiU"/>
          <w:lang w:val="en-US" w:eastAsia="en-US"/>
        </w:rPr>
        <w:t xml:space="preserve">we don’t think we should simply add those conditions since it may result in too much constraint to network implementation. For instance, if TCI switch happens during L1 measurement period, i.e. UE needs to compare the target beam with a different serving beam, UE just needs to perform another round of measurement on the new beam as minimum requirements. </w:t>
      </w:r>
      <w:r w:rsidR="00E6446C">
        <w:rPr>
          <w:rFonts w:eastAsia="PMingLiU"/>
          <w:lang w:val="en-US" w:eastAsia="en-US"/>
        </w:rPr>
        <w:t xml:space="preserve">Therefore, </w:t>
      </w:r>
      <w:r w:rsidR="00635005">
        <w:rPr>
          <w:rFonts w:eastAsia="PMingLiU"/>
          <w:lang w:val="en-US" w:eastAsia="en-US"/>
        </w:rPr>
        <w:t xml:space="preserve"> </w:t>
      </w:r>
      <w:r w:rsidR="00E6446C">
        <w:rPr>
          <w:rFonts w:eastAsia="PMingLiU"/>
          <w:lang w:val="en-US" w:eastAsia="en-US"/>
        </w:rPr>
        <w:t>it is unnecessary to say that “</w:t>
      </w:r>
      <w:r w:rsidR="00E6446C" w:rsidRPr="008611D4">
        <w:rPr>
          <w:bCs/>
          <w:color w:val="000000" w:themeColor="text1"/>
          <w:lang w:val="en-US"/>
        </w:rPr>
        <w:t>No indicate TCI change during the evaluation period</w:t>
      </w:r>
      <w:r w:rsidR="00E6446C">
        <w:rPr>
          <w:rFonts w:eastAsia="PMingLiU"/>
          <w:lang w:val="en-US" w:eastAsia="en-US"/>
        </w:rPr>
        <w:t xml:space="preserve">”. Regarding </w:t>
      </w:r>
      <w:r w:rsidR="00E6446C" w:rsidRPr="008611D4">
        <w:rPr>
          <w:bCs/>
          <w:color w:val="000000" w:themeColor="text1"/>
          <w:lang w:val="en-US"/>
        </w:rPr>
        <w:t>configuration change</w:t>
      </w:r>
      <w:r w:rsidR="00E6446C">
        <w:rPr>
          <w:bCs/>
          <w:color w:val="000000" w:themeColor="text1"/>
          <w:lang w:val="en-US"/>
        </w:rPr>
        <w:t xml:space="preserve">, it is similar as legacy to some extent. </w:t>
      </w:r>
      <w:r w:rsidR="00896FAD">
        <w:rPr>
          <w:bCs/>
          <w:color w:val="000000" w:themeColor="text1"/>
          <w:lang w:val="en-US"/>
        </w:rPr>
        <w:t xml:space="preserve">Configuration can only be changed via RRC. After RRC reconfiguration UE needs to follow the updated configuration to perform measurement, including both L1 and L3. </w:t>
      </w:r>
    </w:p>
    <w:p w14:paraId="1962F6C4" w14:textId="311C5FFC" w:rsidR="00322E5D" w:rsidRDefault="00322E5D" w:rsidP="00322E5D">
      <w:pPr>
        <w:pStyle w:val="Caption"/>
      </w:pPr>
      <w:bookmarkStart w:id="5" w:name="_Ref193917974"/>
      <w:r>
        <w:t xml:space="preserve">Proposal </w:t>
      </w:r>
      <w:r>
        <w:fldChar w:fldCharType="begin"/>
      </w:r>
      <w:r>
        <w:instrText xml:space="preserve"> SEQ Proposal \* ARABIC </w:instrText>
      </w:r>
      <w:r>
        <w:fldChar w:fldCharType="separate"/>
      </w:r>
      <w:r w:rsidR="0070659A">
        <w:rPr>
          <w:noProof/>
        </w:rPr>
        <w:t>1</w:t>
      </w:r>
      <w:r>
        <w:fldChar w:fldCharType="end"/>
      </w:r>
      <w:r>
        <w:t>: seems no need to capture assumptions listed under issue 2-1 into core requirements.</w:t>
      </w:r>
      <w:bookmarkEnd w:id="5"/>
      <w:r>
        <w:t xml:space="preserve"> </w:t>
      </w:r>
    </w:p>
    <w:p w14:paraId="0B2CC1A3" w14:textId="77777777" w:rsidR="002A3207" w:rsidRDefault="002A3207" w:rsidP="002A3207">
      <w:pPr>
        <w:rPr>
          <w:rFonts w:eastAsia="PMingLiU"/>
          <w:lang w:val="en-GB" w:eastAsia="en-US"/>
        </w:rPr>
      </w:pPr>
    </w:p>
    <w:p w14:paraId="10360FFA" w14:textId="77777777" w:rsidR="00962503" w:rsidRPr="008611D4" w:rsidRDefault="00962503" w:rsidP="00962503">
      <w:pPr>
        <w:pStyle w:val="Heading4"/>
        <w:numPr>
          <w:ilvl w:val="0"/>
          <w:numId w:val="0"/>
        </w:numPr>
        <w:rPr>
          <w:lang w:val="en-US"/>
        </w:rPr>
      </w:pPr>
      <w:r w:rsidRPr="008611D4">
        <w:rPr>
          <w:lang w:val="en-US"/>
        </w:rPr>
        <w:t>Issue 2-2: Event triggered reporting delay for L1 reporting</w:t>
      </w:r>
    </w:p>
    <w:p w14:paraId="050FA7DD" w14:textId="77777777" w:rsidR="00962503" w:rsidRPr="002C08AD" w:rsidRDefault="00962503" w:rsidP="00962503">
      <w:pPr>
        <w:spacing w:after="120"/>
        <w:rPr>
          <w:b/>
          <w:bCs/>
          <w:color w:val="000000" w:themeColor="text1"/>
        </w:rPr>
      </w:pPr>
      <w:r w:rsidRPr="002C08AD">
        <w:rPr>
          <w:b/>
          <w:bCs/>
          <w:color w:val="000000" w:themeColor="text1"/>
        </w:rPr>
        <w:t>Agreement:</w:t>
      </w:r>
    </w:p>
    <w:p w14:paraId="44A78C0C" w14:textId="77777777" w:rsidR="00962503" w:rsidRPr="002C08AD" w:rsidRDefault="00962503" w:rsidP="00962503">
      <w:pPr>
        <w:pStyle w:val="ListParagraph"/>
        <w:numPr>
          <w:ilvl w:val="0"/>
          <w:numId w:val="67"/>
        </w:numPr>
        <w:spacing w:after="120"/>
        <w:contextualSpacing w:val="0"/>
        <w:rPr>
          <w:bCs/>
          <w:color w:val="000000" w:themeColor="text1"/>
          <w:u w:val="single"/>
        </w:rPr>
      </w:pPr>
      <w:r w:rsidRPr="002C08AD">
        <w:rPr>
          <w:bCs/>
          <w:color w:val="000000" w:themeColor="text1"/>
        </w:rPr>
        <w:lastRenderedPageBreak/>
        <w:t xml:space="preserve">Reuse the framework from L3 event triggered reporting. Discuss the details further. </w:t>
      </w:r>
    </w:p>
    <w:p w14:paraId="4506EABC" w14:textId="7C325B31" w:rsidR="00DB7882" w:rsidRDefault="00DB7882" w:rsidP="00DB7882">
      <w:pPr>
        <w:spacing w:before="120" w:after="120"/>
        <w:jc w:val="both"/>
        <w:rPr>
          <w:lang w:val="en-US"/>
        </w:rPr>
      </w:pPr>
      <w:r>
        <w:rPr>
          <w:lang w:val="en-US"/>
        </w:rPr>
        <w:t>The fundamental issue here is to</w:t>
      </w:r>
      <w:r w:rsidR="0082539A">
        <w:rPr>
          <w:lang w:val="en-US"/>
        </w:rPr>
        <w:t xml:space="preserve"> make sure that</w:t>
      </w:r>
      <w:r>
        <w:rPr>
          <w:lang w:val="en-US"/>
        </w:rPr>
        <w:t xml:space="preserve"> both serving cell and neighbor cell</w:t>
      </w:r>
      <w:r w:rsidR="0082539A">
        <w:rPr>
          <w:lang w:val="en-US"/>
        </w:rPr>
        <w:t xml:space="preserve"> are considered</w:t>
      </w:r>
      <w:r>
        <w:rPr>
          <w:lang w:val="en-US"/>
        </w:rPr>
        <w:t xml:space="preserve"> in events wherein UE needs to compare measurement results of the two cells, like </w:t>
      </w:r>
      <w:r w:rsidRPr="00071181">
        <w:rPr>
          <w:lang w:val="en-US"/>
        </w:rPr>
        <w:t>Event LTM3</w:t>
      </w:r>
      <w:r>
        <w:rPr>
          <w:lang w:val="en-US"/>
        </w:rPr>
        <w:t xml:space="preserve">. That technically makes sense. The event can still be triggered if UE realizes target cell RSRP doesn’t not change but serving cell RSRP somehow drops. </w:t>
      </w:r>
      <w:r w:rsidR="00875728">
        <w:rPr>
          <w:lang w:val="en-US"/>
        </w:rPr>
        <w:t xml:space="preserve">However, in real practice whenever UE is moving, channel condition for both serving and target cells </w:t>
      </w:r>
      <w:r w:rsidR="00FA6376">
        <w:rPr>
          <w:lang w:val="en-US"/>
        </w:rPr>
        <w:t xml:space="preserve">are always varying. When serving cell and neighbor cannot be measured simultaneously, which is quite typical, it is challenging to tell whether the event is triggered based on measurement of serving cell or neighbor cell. In principle we agree that every time UE gets new results of either serving cell or target cell, UE shall evaluate whether event can be met. </w:t>
      </w:r>
    </w:p>
    <w:p w14:paraId="17FFB3B7" w14:textId="6B7D2211" w:rsidR="002D5194" w:rsidRDefault="00754D03" w:rsidP="00754D03">
      <w:pPr>
        <w:pStyle w:val="Caption"/>
        <w:rPr>
          <w:lang w:val="en-US"/>
        </w:rPr>
      </w:pPr>
      <w:bookmarkStart w:id="6" w:name="_Ref193918015"/>
      <w:r>
        <w:t xml:space="preserve">Proposal </w:t>
      </w:r>
      <w:r>
        <w:fldChar w:fldCharType="begin"/>
      </w:r>
      <w:r>
        <w:instrText xml:space="preserve"> SEQ Proposal \* ARABIC </w:instrText>
      </w:r>
      <w:r>
        <w:fldChar w:fldCharType="separate"/>
      </w:r>
      <w:r w:rsidR="0070659A">
        <w:rPr>
          <w:noProof/>
        </w:rPr>
        <w:t>2</w:t>
      </w:r>
      <w:r>
        <w:fldChar w:fldCharType="end"/>
      </w:r>
      <w:r>
        <w:t xml:space="preserve">: </w:t>
      </w:r>
      <w:r w:rsidRPr="00754D03">
        <w:rPr>
          <w:lang w:val="en-US"/>
        </w:rPr>
        <w:t>Event triggered reporting delay for L1 reporting</w:t>
      </w:r>
      <w:r>
        <w:rPr>
          <w:lang w:val="en-US"/>
        </w:rPr>
        <w:t>:</w:t>
      </w:r>
      <w:bookmarkEnd w:id="6"/>
    </w:p>
    <w:p w14:paraId="6F5E0AE6" w14:textId="644173F4" w:rsidR="00962503" w:rsidRDefault="00962503" w:rsidP="00962503">
      <w:pPr>
        <w:pStyle w:val="ListParagraph"/>
        <w:numPr>
          <w:ilvl w:val="0"/>
          <w:numId w:val="67"/>
        </w:numPr>
        <w:rPr>
          <w:b/>
          <w:bCs/>
          <w:sz w:val="21"/>
          <w:szCs w:val="21"/>
          <w:lang w:val="en-US"/>
        </w:rPr>
      </w:pPr>
      <w:r w:rsidRPr="00962503">
        <w:rPr>
          <w:b/>
          <w:bCs/>
          <w:sz w:val="21"/>
          <w:szCs w:val="21"/>
          <w:lang w:val="en-US"/>
        </w:rPr>
        <w:t>The event triggered measurement reporting delay shall be no larger than the L1-RSRP measurement period on the cells corresponding to the event.</w:t>
      </w:r>
    </w:p>
    <w:p w14:paraId="5E64B5D5" w14:textId="77777777" w:rsidR="00962503" w:rsidRDefault="00962503" w:rsidP="00962503">
      <w:pPr>
        <w:pStyle w:val="ListParagraph"/>
        <w:numPr>
          <w:ilvl w:val="1"/>
          <w:numId w:val="67"/>
        </w:numPr>
        <w:rPr>
          <w:b/>
          <w:bCs/>
          <w:sz w:val="21"/>
          <w:szCs w:val="21"/>
          <w:lang w:val="en-US"/>
        </w:rPr>
      </w:pPr>
      <w:r w:rsidRPr="00962503">
        <w:rPr>
          <w:b/>
          <w:bCs/>
          <w:sz w:val="21"/>
          <w:szCs w:val="21"/>
          <w:lang w:val="en-US"/>
        </w:rPr>
        <w:t>The measurement period on the LTM candidate cells is based on the Rel-18 requirement, with the assumption of Treport is 0.</w:t>
      </w:r>
    </w:p>
    <w:p w14:paraId="1C6A9B4A" w14:textId="698CECC8" w:rsidR="00754D03" w:rsidRPr="00962503" w:rsidRDefault="00962503" w:rsidP="00962503">
      <w:pPr>
        <w:pStyle w:val="ListParagraph"/>
        <w:numPr>
          <w:ilvl w:val="0"/>
          <w:numId w:val="67"/>
        </w:numPr>
        <w:rPr>
          <w:b/>
          <w:bCs/>
          <w:sz w:val="21"/>
          <w:szCs w:val="21"/>
          <w:lang w:val="en-US"/>
        </w:rPr>
      </w:pPr>
      <w:r w:rsidRPr="00962503">
        <w:rPr>
          <w:b/>
          <w:bCs/>
          <w:sz w:val="21"/>
          <w:szCs w:val="21"/>
          <w:lang w:val="en-US"/>
        </w:rPr>
        <w:t>For periodic MR: after the first report, UE follow the network configuration on the reporting interval.</w:t>
      </w:r>
    </w:p>
    <w:p w14:paraId="3459A7B6" w14:textId="77777777" w:rsidR="00BD2288" w:rsidRDefault="00BD2288" w:rsidP="00BD2288">
      <w:pPr>
        <w:rPr>
          <w:rFonts w:eastAsia="PMingLiU"/>
          <w:lang w:val="en-US" w:eastAsia="en-US"/>
        </w:rPr>
      </w:pPr>
    </w:p>
    <w:p w14:paraId="4EE9450F" w14:textId="77777777" w:rsidR="003133C2" w:rsidRPr="008611D4" w:rsidRDefault="003133C2" w:rsidP="003133C2">
      <w:pPr>
        <w:pStyle w:val="Heading4"/>
        <w:numPr>
          <w:ilvl w:val="0"/>
          <w:numId w:val="0"/>
        </w:numPr>
        <w:rPr>
          <w:lang w:val="en-US"/>
        </w:rPr>
      </w:pPr>
      <w:r w:rsidRPr="008611D4">
        <w:rPr>
          <w:lang w:val="en-US"/>
        </w:rPr>
        <w:t>Issue 2-</w:t>
      </w:r>
      <w:r>
        <w:rPr>
          <w:lang w:val="en-US"/>
        </w:rPr>
        <w:t>3</w:t>
      </w:r>
      <w:r w:rsidRPr="008611D4">
        <w:rPr>
          <w:lang w:val="en-US"/>
        </w:rPr>
        <w:t>: whether to introduce/update requirements for reporting criteria per measurement category</w:t>
      </w:r>
    </w:p>
    <w:p w14:paraId="660B3A9F" w14:textId="77777777" w:rsidR="003133C2" w:rsidRPr="008611D4" w:rsidRDefault="003133C2" w:rsidP="003133C2">
      <w:pPr>
        <w:spacing w:after="120"/>
        <w:rPr>
          <w:b/>
          <w:bCs/>
          <w:color w:val="000000" w:themeColor="text1"/>
        </w:rPr>
      </w:pPr>
      <w:r w:rsidRPr="008611D4">
        <w:rPr>
          <w:b/>
          <w:bCs/>
          <w:color w:val="000000" w:themeColor="text1"/>
        </w:rPr>
        <w:t>Candidate options:</w:t>
      </w:r>
    </w:p>
    <w:p w14:paraId="57D4CE5C" w14:textId="77777777" w:rsidR="003133C2" w:rsidRPr="008611D4" w:rsidRDefault="003133C2" w:rsidP="003133C2">
      <w:pPr>
        <w:pStyle w:val="ListParagraph"/>
        <w:numPr>
          <w:ilvl w:val="0"/>
          <w:numId w:val="67"/>
        </w:numPr>
        <w:spacing w:after="120"/>
        <w:contextualSpacing w:val="0"/>
        <w:rPr>
          <w:color w:val="000000" w:themeColor="text1"/>
        </w:rPr>
      </w:pPr>
      <w:r w:rsidRPr="008611D4">
        <w:rPr>
          <w:color w:val="000000" w:themeColor="text1"/>
        </w:rPr>
        <w:t>Option 1: Yes (</w:t>
      </w:r>
      <w:r>
        <w:rPr>
          <w:color w:val="000000" w:themeColor="text1"/>
        </w:rPr>
        <w:t>Xiaomi, CMCC, ZTE, CTC, vivo)</w:t>
      </w:r>
    </w:p>
    <w:p w14:paraId="19FD8F25" w14:textId="77777777" w:rsidR="003133C2" w:rsidRPr="00F53388" w:rsidRDefault="003133C2" w:rsidP="003133C2">
      <w:pPr>
        <w:pStyle w:val="ListParagraph"/>
        <w:numPr>
          <w:ilvl w:val="0"/>
          <w:numId w:val="67"/>
        </w:numPr>
        <w:spacing w:after="120"/>
        <w:contextualSpacing w:val="0"/>
        <w:rPr>
          <w:color w:val="000000" w:themeColor="text1"/>
        </w:rPr>
      </w:pPr>
      <w:r w:rsidRPr="008611D4">
        <w:rPr>
          <w:color w:val="000000" w:themeColor="text1"/>
        </w:rPr>
        <w:t xml:space="preserve">Option </w:t>
      </w:r>
      <w:r>
        <w:rPr>
          <w:color w:val="000000" w:themeColor="text1"/>
        </w:rPr>
        <w:t>2</w:t>
      </w:r>
      <w:r w:rsidRPr="008611D4">
        <w:rPr>
          <w:color w:val="000000" w:themeColor="text1"/>
        </w:rPr>
        <w:t xml:space="preserve">: </w:t>
      </w:r>
      <w:r w:rsidRPr="00A67CB6">
        <w:rPr>
          <w:color w:val="000000" w:themeColor="text1"/>
        </w:rPr>
        <w:t>assuming new UE capabilities regarding support of event triggering needs to be introduced, RAN4 shall discuss whether it is still necessary to update/introduce new Event Triggering and Reporting Criteria for LTM.</w:t>
      </w:r>
      <w:r>
        <w:rPr>
          <w:color w:val="000000" w:themeColor="text1"/>
        </w:rPr>
        <w:t xml:space="preserve"> (Apple)</w:t>
      </w:r>
    </w:p>
    <w:p w14:paraId="2F692B40" w14:textId="77777777" w:rsidR="003133C2" w:rsidRPr="00F53388" w:rsidRDefault="003133C2" w:rsidP="003133C2">
      <w:pPr>
        <w:spacing w:after="120"/>
        <w:rPr>
          <w:rFonts w:eastAsia="SimSun"/>
          <w:color w:val="000000" w:themeColor="text1"/>
        </w:rPr>
      </w:pPr>
    </w:p>
    <w:p w14:paraId="70AD018D" w14:textId="77777777" w:rsidR="003133C2" w:rsidRPr="008611D4" w:rsidRDefault="003133C2" w:rsidP="003133C2"/>
    <w:p w14:paraId="38216D1E" w14:textId="77777777" w:rsidR="003133C2" w:rsidRPr="008611D4" w:rsidRDefault="003133C2" w:rsidP="003133C2">
      <w:pPr>
        <w:pStyle w:val="Heading4"/>
        <w:numPr>
          <w:ilvl w:val="0"/>
          <w:numId w:val="0"/>
        </w:numPr>
        <w:rPr>
          <w:lang w:val="en-US"/>
        </w:rPr>
      </w:pPr>
      <w:r w:rsidRPr="008611D4">
        <w:rPr>
          <w:lang w:val="en-US"/>
        </w:rPr>
        <w:t>Issue 2-</w:t>
      </w:r>
      <w:r>
        <w:rPr>
          <w:lang w:val="en-US"/>
        </w:rPr>
        <w:t>4</w:t>
      </w:r>
      <w:r w:rsidRPr="008611D4">
        <w:rPr>
          <w:lang w:val="en-US"/>
        </w:rPr>
        <w:t xml:space="preserve">: whether to define a </w:t>
      </w:r>
      <w:r w:rsidRPr="008611D4">
        <w:rPr>
          <w:bCs/>
          <w:color w:val="000000" w:themeColor="text1"/>
          <w:lang w:val="en-US"/>
        </w:rPr>
        <w:t>separate capability for supported number of events triggered L1 measurement reporting</w:t>
      </w:r>
    </w:p>
    <w:p w14:paraId="7563EB24" w14:textId="77777777" w:rsidR="003133C2" w:rsidRPr="008611D4" w:rsidRDefault="003133C2" w:rsidP="003133C2">
      <w:pPr>
        <w:spacing w:after="120"/>
        <w:rPr>
          <w:b/>
          <w:bCs/>
          <w:color w:val="000000" w:themeColor="text1"/>
        </w:rPr>
      </w:pPr>
      <w:r w:rsidRPr="008611D4">
        <w:rPr>
          <w:b/>
          <w:bCs/>
          <w:color w:val="000000" w:themeColor="text1"/>
        </w:rPr>
        <w:t>Candidate options:</w:t>
      </w:r>
    </w:p>
    <w:p w14:paraId="1540BCB7" w14:textId="77777777" w:rsidR="003133C2" w:rsidRPr="008611D4" w:rsidRDefault="003133C2" w:rsidP="003133C2">
      <w:pPr>
        <w:pStyle w:val="ListParagraph"/>
        <w:numPr>
          <w:ilvl w:val="0"/>
          <w:numId w:val="67"/>
        </w:numPr>
        <w:spacing w:after="120"/>
        <w:contextualSpacing w:val="0"/>
        <w:rPr>
          <w:bCs/>
          <w:color w:val="000000" w:themeColor="text1"/>
        </w:rPr>
      </w:pPr>
      <w:r w:rsidRPr="008611D4">
        <w:rPr>
          <w:bCs/>
          <w:color w:val="000000" w:themeColor="text1"/>
        </w:rPr>
        <w:t xml:space="preserve">Option 1: </w:t>
      </w:r>
      <w:r w:rsidRPr="008611D4">
        <w:rPr>
          <w:color w:val="000000" w:themeColor="text1"/>
        </w:rPr>
        <w:t xml:space="preserve">RAN4 to define a new UE capability for Event Triggering and Reporting Criteria for LTM. </w:t>
      </w:r>
      <w:r w:rsidRPr="008611D4">
        <w:rPr>
          <w:bCs/>
          <w:color w:val="000000" w:themeColor="text1"/>
        </w:rPr>
        <w:t>(</w:t>
      </w:r>
      <w:r>
        <w:rPr>
          <w:bCs/>
          <w:color w:val="000000" w:themeColor="text1"/>
        </w:rPr>
        <w:t>Xiaomi, CMCC, ZTE, E///, CTC</w:t>
      </w:r>
      <w:r w:rsidRPr="008611D4">
        <w:rPr>
          <w:bCs/>
          <w:color w:val="000000" w:themeColor="text1"/>
        </w:rPr>
        <w:t>)</w:t>
      </w:r>
    </w:p>
    <w:p w14:paraId="6F947CE3" w14:textId="77777777" w:rsidR="003133C2" w:rsidRDefault="003133C2" w:rsidP="003133C2">
      <w:pPr>
        <w:pStyle w:val="ListParagraph"/>
        <w:numPr>
          <w:ilvl w:val="0"/>
          <w:numId w:val="67"/>
        </w:numPr>
        <w:spacing w:after="120"/>
        <w:contextualSpacing w:val="0"/>
        <w:rPr>
          <w:bCs/>
          <w:color w:val="000000" w:themeColor="text1"/>
        </w:rPr>
      </w:pPr>
      <w:r w:rsidRPr="008611D4">
        <w:rPr>
          <w:bCs/>
          <w:color w:val="000000" w:themeColor="text1"/>
        </w:rPr>
        <w:t>Option 1a: Yes. RAN4 to support a common LTM Ecat capability to be shared between intra- and inter-frequency candidate cells. Ecat capability for LTM L1 measurements includes both PCell event, and candidate cells’ events. The detail number of Ecat is FFS. (E///)</w:t>
      </w:r>
    </w:p>
    <w:p w14:paraId="2E880A73" w14:textId="77777777" w:rsidR="003133C2" w:rsidRPr="00691391" w:rsidRDefault="003133C2" w:rsidP="003133C2">
      <w:pPr>
        <w:pStyle w:val="ListParagraph"/>
        <w:numPr>
          <w:ilvl w:val="0"/>
          <w:numId w:val="67"/>
        </w:numPr>
        <w:spacing w:after="120"/>
        <w:contextualSpacing w:val="0"/>
        <w:rPr>
          <w:bCs/>
          <w:color w:val="000000" w:themeColor="text1"/>
        </w:rPr>
      </w:pPr>
      <w:r>
        <w:rPr>
          <w:bCs/>
          <w:color w:val="000000" w:themeColor="text1"/>
        </w:rPr>
        <w:t xml:space="preserve">Option 2: </w:t>
      </w:r>
      <w:r w:rsidRPr="008611D4">
        <w:rPr>
          <w:bCs/>
          <w:color w:val="000000" w:themeColor="text1"/>
        </w:rPr>
        <w:t>RAN4 to update intra-frequency and inter-frequency measurement reporting criteria requirements for SSB and CSI-RS based L1-RSRP with the same E</w:t>
      </w:r>
      <w:r w:rsidRPr="008611D4">
        <w:rPr>
          <w:bCs/>
          <w:color w:val="000000" w:themeColor="text1"/>
          <w:vertAlign w:val="subscript"/>
        </w:rPr>
        <w:t>cat.</w:t>
      </w:r>
      <w:r>
        <w:rPr>
          <w:bCs/>
          <w:color w:val="000000" w:themeColor="text1"/>
        </w:rPr>
        <w:t xml:space="preserve"> (OPPO)</w:t>
      </w:r>
    </w:p>
    <w:p w14:paraId="40894F30" w14:textId="394CB5DA" w:rsidR="008D5C51" w:rsidRPr="003133C2" w:rsidRDefault="008D5C51" w:rsidP="003133C2">
      <w:pPr>
        <w:spacing w:after="120"/>
        <w:rPr>
          <w:bCs/>
          <w:color w:val="000000" w:themeColor="text1"/>
          <w:lang w:val="en-US"/>
        </w:rPr>
      </w:pPr>
    </w:p>
    <w:p w14:paraId="34B24C0B" w14:textId="5BAB3079" w:rsidR="008D5C51" w:rsidRDefault="008D5C51" w:rsidP="00BD2288">
      <w:pPr>
        <w:rPr>
          <w:rFonts w:eastAsia="PMingLiU"/>
          <w:lang w:val="en-US" w:eastAsia="en-US"/>
        </w:rPr>
      </w:pPr>
      <w:r>
        <w:rPr>
          <w:rFonts w:eastAsia="PMingLiU"/>
          <w:lang w:val="en-US" w:eastAsia="en-US"/>
        </w:rPr>
        <w:t xml:space="preserve">We are fine to </w:t>
      </w:r>
      <w:r w:rsidRPr="008D5C51">
        <w:rPr>
          <w:rFonts w:eastAsia="PMingLiU"/>
          <w:lang w:val="en-US" w:eastAsia="en-US"/>
        </w:rPr>
        <w:t>define a new UE capability for Event Triggering and Reporting Criteria for LTM.</w:t>
      </w:r>
      <w:r w:rsidR="00A75FF8">
        <w:rPr>
          <w:rFonts w:eastAsia="PMingLiU"/>
          <w:lang w:val="en-US" w:eastAsia="en-US"/>
        </w:rPr>
        <w:t xml:space="preserve"> However, it is a bit unclear at current stage that if this is really necessary if RAN4 eventually need to define new capabilities regarding support of CSI-RS for L1-RSRP event triggered reporting. </w:t>
      </w:r>
    </w:p>
    <w:p w14:paraId="3C087174" w14:textId="628DF3CC" w:rsidR="005037F4" w:rsidRDefault="005037F4" w:rsidP="005037F4">
      <w:pPr>
        <w:pStyle w:val="Caption"/>
        <w:rPr>
          <w:rFonts w:eastAsia="PMingLiU"/>
          <w:lang w:val="en-US"/>
        </w:rPr>
      </w:pPr>
      <w:bookmarkStart w:id="7" w:name="_Ref193918020"/>
      <w:r>
        <w:t xml:space="preserve">Proposal </w:t>
      </w:r>
      <w:r>
        <w:fldChar w:fldCharType="begin"/>
      </w:r>
      <w:r>
        <w:instrText xml:space="preserve"> SEQ Proposal \* ARABIC </w:instrText>
      </w:r>
      <w:r>
        <w:fldChar w:fldCharType="separate"/>
      </w:r>
      <w:r w:rsidR="0070659A">
        <w:rPr>
          <w:noProof/>
        </w:rPr>
        <w:t>3</w:t>
      </w:r>
      <w:r>
        <w:fldChar w:fldCharType="end"/>
      </w:r>
      <w:r>
        <w:t xml:space="preserve">: </w:t>
      </w:r>
      <w:r w:rsidR="00E0703F">
        <w:t xml:space="preserve">assuming </w:t>
      </w:r>
      <w:r w:rsidR="00594B13" w:rsidRPr="008D5C51">
        <w:rPr>
          <w:rFonts w:eastAsia="PMingLiU"/>
          <w:lang w:val="en-US"/>
        </w:rPr>
        <w:t>new UE capabilit</w:t>
      </w:r>
      <w:r w:rsidR="00E0703F">
        <w:rPr>
          <w:rFonts w:eastAsia="PMingLiU"/>
          <w:lang w:val="en-US"/>
        </w:rPr>
        <w:t>ies</w:t>
      </w:r>
      <w:r w:rsidR="00594B13" w:rsidRPr="008D5C51">
        <w:rPr>
          <w:rFonts w:eastAsia="PMingLiU"/>
          <w:lang w:val="en-US"/>
        </w:rPr>
        <w:t xml:space="preserve"> </w:t>
      </w:r>
      <w:r w:rsidR="00E0703F">
        <w:rPr>
          <w:rFonts w:eastAsia="PMingLiU"/>
          <w:lang w:val="en-US"/>
        </w:rPr>
        <w:t>regarding support of</w:t>
      </w:r>
      <w:r w:rsidR="00594B13" w:rsidRPr="008D5C51">
        <w:rPr>
          <w:rFonts w:eastAsia="PMingLiU"/>
          <w:lang w:val="en-US"/>
        </w:rPr>
        <w:t xml:space="preserve"> </w:t>
      </w:r>
      <w:r w:rsidR="00E0703F">
        <w:rPr>
          <w:rFonts w:eastAsia="PMingLiU"/>
          <w:lang w:val="en-US"/>
        </w:rPr>
        <w:t>e</w:t>
      </w:r>
      <w:r w:rsidR="00594B13" w:rsidRPr="008D5C51">
        <w:rPr>
          <w:rFonts w:eastAsia="PMingLiU"/>
          <w:lang w:val="en-US"/>
        </w:rPr>
        <w:t xml:space="preserve">vent </w:t>
      </w:r>
      <w:r w:rsidR="00E0703F">
        <w:rPr>
          <w:rFonts w:eastAsia="PMingLiU"/>
          <w:lang w:val="en-US"/>
        </w:rPr>
        <w:t>t</w:t>
      </w:r>
      <w:r w:rsidR="00594B13" w:rsidRPr="008D5C51">
        <w:rPr>
          <w:rFonts w:eastAsia="PMingLiU"/>
          <w:lang w:val="en-US"/>
        </w:rPr>
        <w:t xml:space="preserve">riggering </w:t>
      </w:r>
      <w:r w:rsidR="00594B13">
        <w:rPr>
          <w:rFonts w:eastAsia="PMingLiU"/>
          <w:lang w:val="en-US"/>
        </w:rPr>
        <w:t>needs to be introduced</w:t>
      </w:r>
      <w:r w:rsidR="00E0703F">
        <w:rPr>
          <w:rFonts w:eastAsia="PMingLiU"/>
          <w:lang w:val="en-US"/>
        </w:rPr>
        <w:t>,</w:t>
      </w:r>
      <w:r w:rsidR="00594B13">
        <w:rPr>
          <w:rFonts w:eastAsia="PMingLiU"/>
          <w:lang w:val="en-US"/>
        </w:rPr>
        <w:t xml:space="preserve"> </w:t>
      </w:r>
      <w:r w:rsidR="00E0703F">
        <w:rPr>
          <w:rFonts w:eastAsia="PMingLiU"/>
          <w:lang w:val="en-US"/>
        </w:rPr>
        <w:t xml:space="preserve">RAN4 shall discuss whether </w:t>
      </w:r>
      <w:r w:rsidR="00B04A6C">
        <w:rPr>
          <w:rFonts w:eastAsia="PMingLiU"/>
          <w:lang w:val="en-US"/>
        </w:rPr>
        <w:t xml:space="preserve">it is still necessary to update/introduce new </w:t>
      </w:r>
      <w:r w:rsidR="00B04A6C" w:rsidRPr="008D5C51">
        <w:rPr>
          <w:rFonts w:eastAsia="PMingLiU"/>
          <w:lang w:val="en-US"/>
        </w:rPr>
        <w:t>Event Triggering and Reporting Criteria for LTM</w:t>
      </w:r>
      <w:r w:rsidR="00B04A6C">
        <w:rPr>
          <w:rFonts w:eastAsia="PMingLiU"/>
          <w:lang w:val="en-US"/>
        </w:rPr>
        <w:t>.</w:t>
      </w:r>
      <w:bookmarkEnd w:id="7"/>
    </w:p>
    <w:p w14:paraId="2F9FB5C3" w14:textId="77777777" w:rsidR="00C53DE1" w:rsidRDefault="00C53DE1" w:rsidP="00C53DE1">
      <w:pPr>
        <w:rPr>
          <w:rFonts w:eastAsia="PMingLiU"/>
          <w:lang w:val="en-US" w:eastAsia="en-US"/>
        </w:rPr>
      </w:pPr>
    </w:p>
    <w:p w14:paraId="2C61A800" w14:textId="77777777" w:rsidR="00282295" w:rsidRPr="008611D4" w:rsidRDefault="00282295" w:rsidP="00282295">
      <w:pPr>
        <w:pStyle w:val="Heading4"/>
        <w:numPr>
          <w:ilvl w:val="0"/>
          <w:numId w:val="0"/>
        </w:numPr>
        <w:rPr>
          <w:lang w:val="en-US"/>
        </w:rPr>
      </w:pPr>
      <w:r w:rsidRPr="008611D4">
        <w:rPr>
          <w:lang w:val="en-US"/>
        </w:rPr>
        <w:t>Issue 2-</w:t>
      </w:r>
      <w:r>
        <w:rPr>
          <w:lang w:val="en-US"/>
        </w:rPr>
        <w:t>7</w:t>
      </w:r>
      <w:r w:rsidRPr="008611D4">
        <w:rPr>
          <w:lang w:val="en-US"/>
        </w:rPr>
        <w:t>: Impact on other LTM requirements</w:t>
      </w:r>
    </w:p>
    <w:p w14:paraId="3976D82D" w14:textId="77777777" w:rsidR="00282295" w:rsidRPr="00B53946" w:rsidRDefault="00282295" w:rsidP="00282295">
      <w:pPr>
        <w:spacing w:after="120"/>
        <w:rPr>
          <w:b/>
          <w:bCs/>
          <w:color w:val="000000" w:themeColor="text1"/>
        </w:rPr>
      </w:pPr>
      <w:r w:rsidRPr="00B53946">
        <w:rPr>
          <w:b/>
          <w:bCs/>
          <w:color w:val="000000" w:themeColor="text1"/>
        </w:rPr>
        <w:t>Agreement:</w:t>
      </w:r>
    </w:p>
    <w:p w14:paraId="1F4FF776" w14:textId="77777777" w:rsidR="00282295" w:rsidRPr="00B53946" w:rsidRDefault="00282295" w:rsidP="00282295">
      <w:pPr>
        <w:numPr>
          <w:ilvl w:val="0"/>
          <w:numId w:val="67"/>
        </w:numPr>
        <w:spacing w:after="120"/>
        <w:rPr>
          <w:bCs/>
          <w:color w:val="000000" w:themeColor="text1"/>
        </w:rPr>
      </w:pPr>
      <w:r w:rsidRPr="00B53946">
        <w:rPr>
          <w:bCs/>
          <w:color w:val="000000" w:themeColor="text1"/>
        </w:rPr>
        <w:t xml:space="preserve">For FR1: </w:t>
      </w:r>
    </w:p>
    <w:p w14:paraId="59D53DC9" w14:textId="77777777" w:rsidR="00282295" w:rsidRPr="00B53946" w:rsidRDefault="00282295" w:rsidP="00282295">
      <w:pPr>
        <w:numPr>
          <w:ilvl w:val="1"/>
          <w:numId w:val="67"/>
        </w:numPr>
        <w:spacing w:after="120"/>
        <w:rPr>
          <w:bCs/>
          <w:color w:val="000000" w:themeColor="text1"/>
        </w:rPr>
      </w:pPr>
      <w:r w:rsidRPr="00B53946">
        <w:rPr>
          <w:bCs/>
          <w:color w:val="000000" w:themeColor="text1"/>
        </w:rPr>
        <w:t xml:space="preserve">UE has sent an event-triggered L1 report and the reporting condition continues to be met at the time of receiving the cell switch command or TCI state activation command, </w:t>
      </w:r>
    </w:p>
    <w:p w14:paraId="64B032A4" w14:textId="77777777" w:rsidR="00282295" w:rsidRPr="00B53946" w:rsidRDefault="00282295" w:rsidP="00282295">
      <w:pPr>
        <w:numPr>
          <w:ilvl w:val="2"/>
          <w:numId w:val="67"/>
        </w:numPr>
        <w:spacing w:after="120"/>
        <w:rPr>
          <w:bCs/>
          <w:color w:val="000000" w:themeColor="text1"/>
        </w:rPr>
      </w:pPr>
      <w:r w:rsidRPr="00B53946">
        <w:rPr>
          <w:bCs/>
          <w:color w:val="000000" w:themeColor="text1"/>
        </w:rPr>
        <w:t>Case 1: leaving condition of the event is configured and corresponding condition is not met,</w:t>
      </w:r>
    </w:p>
    <w:p w14:paraId="5693A9A0" w14:textId="77777777" w:rsidR="00282295" w:rsidRPr="00B53946" w:rsidRDefault="00282295" w:rsidP="00282295">
      <w:pPr>
        <w:numPr>
          <w:ilvl w:val="3"/>
          <w:numId w:val="67"/>
        </w:numPr>
        <w:spacing w:after="120"/>
        <w:rPr>
          <w:bCs/>
          <w:color w:val="000000" w:themeColor="text1"/>
        </w:rPr>
      </w:pPr>
      <w:r w:rsidRPr="00B53946">
        <w:rPr>
          <w:bCs/>
          <w:color w:val="000000" w:themeColor="text1"/>
        </w:rPr>
        <w:t>the related cell switch delay and TCI state activation requirements are applicable</w:t>
      </w:r>
    </w:p>
    <w:p w14:paraId="79DF361D" w14:textId="77777777" w:rsidR="00282295" w:rsidRPr="00B53946" w:rsidRDefault="00282295" w:rsidP="00282295">
      <w:pPr>
        <w:numPr>
          <w:ilvl w:val="2"/>
          <w:numId w:val="67"/>
        </w:numPr>
        <w:spacing w:after="120"/>
        <w:rPr>
          <w:bCs/>
          <w:color w:val="000000" w:themeColor="text1"/>
        </w:rPr>
      </w:pPr>
      <w:r w:rsidRPr="00B53946">
        <w:rPr>
          <w:bCs/>
          <w:color w:val="000000" w:themeColor="text1"/>
        </w:rPr>
        <w:t>Case 2: leaving condition of the event is NOT configured, FFS</w:t>
      </w:r>
    </w:p>
    <w:p w14:paraId="032BF252" w14:textId="77777777" w:rsidR="00282295" w:rsidRPr="00B53946" w:rsidRDefault="00282295" w:rsidP="00282295">
      <w:pPr>
        <w:numPr>
          <w:ilvl w:val="0"/>
          <w:numId w:val="67"/>
        </w:numPr>
        <w:spacing w:after="120"/>
        <w:rPr>
          <w:bCs/>
          <w:color w:val="000000" w:themeColor="text1"/>
        </w:rPr>
      </w:pPr>
      <w:r w:rsidRPr="00B53946">
        <w:rPr>
          <w:bCs/>
          <w:color w:val="000000" w:themeColor="text1"/>
        </w:rPr>
        <w:t>For FR2: FFS</w:t>
      </w:r>
    </w:p>
    <w:p w14:paraId="0D018B78" w14:textId="6FC9BF14" w:rsidR="00282295" w:rsidRPr="003823A8" w:rsidRDefault="00282295" w:rsidP="00C53DE1">
      <w:pPr>
        <w:rPr>
          <w:rFonts w:eastAsia="PMingLiU"/>
          <w:lang w:eastAsia="en-US"/>
        </w:rPr>
      </w:pPr>
      <w:r>
        <w:rPr>
          <w:rFonts w:eastAsia="PMingLiU"/>
          <w:lang w:eastAsia="en-US"/>
        </w:rPr>
        <w:t xml:space="preserve">We are open to whether continue optimizing case 2 and FR2. However, </w:t>
      </w:r>
      <w:r>
        <w:rPr>
          <w:rFonts w:eastAsia="PMingLiU"/>
          <w:lang w:val="en-US" w:eastAsia="en-US"/>
        </w:rPr>
        <w:t>we think it is necessary to</w:t>
      </w:r>
      <w:r w:rsidRPr="00282295">
        <w:rPr>
          <w:rFonts w:eastAsia="PMingLiU"/>
          <w:lang w:val="en-US" w:eastAsia="en-US"/>
        </w:rPr>
        <w:t xml:space="preserve"> add a condition that number of active TCI does not exceed that UE can support.</w:t>
      </w:r>
    </w:p>
    <w:p w14:paraId="1C8CD7B7" w14:textId="284BEFC2" w:rsidR="0070659A" w:rsidRDefault="0070659A" w:rsidP="0070659A">
      <w:pPr>
        <w:pStyle w:val="Caption"/>
        <w:rPr>
          <w:rFonts w:eastAsia="PMingLiU"/>
          <w:lang w:val="en-US"/>
        </w:rPr>
      </w:pPr>
      <w:bookmarkStart w:id="8" w:name="_Ref193918025"/>
      <w:bookmarkStart w:id="9" w:name="_Ref197631027"/>
      <w:r>
        <w:t xml:space="preserve">Proposal </w:t>
      </w:r>
      <w:r>
        <w:fldChar w:fldCharType="begin"/>
      </w:r>
      <w:r>
        <w:instrText xml:space="preserve"> SEQ Proposal \* ARABIC </w:instrText>
      </w:r>
      <w:r>
        <w:fldChar w:fldCharType="separate"/>
      </w:r>
      <w:r>
        <w:rPr>
          <w:noProof/>
        </w:rPr>
        <w:t>5</w:t>
      </w:r>
      <w:r>
        <w:fldChar w:fldCharType="end"/>
      </w:r>
      <w:r>
        <w:t>:</w:t>
      </w:r>
      <w:bookmarkEnd w:id="8"/>
      <w:r w:rsidR="00CE2CFF">
        <w:rPr>
          <w:rFonts w:eastAsia="PMingLiU"/>
          <w:lang w:val="en-US"/>
        </w:rPr>
        <w:t xml:space="preserve"> </w:t>
      </w:r>
      <w:r w:rsidR="0061792A">
        <w:rPr>
          <w:rFonts w:eastAsia="PMingLiU"/>
          <w:lang w:val="en-US"/>
        </w:rPr>
        <w:t xml:space="preserve"> </w:t>
      </w:r>
      <w:r w:rsidR="00482B4A">
        <w:rPr>
          <w:rFonts w:eastAsia="PMingLiU"/>
          <w:lang w:val="en-US"/>
        </w:rPr>
        <w:t>add the following condition on agreements under issue 2-7 in RAN4#114bis:</w:t>
      </w:r>
      <w:bookmarkEnd w:id="9"/>
    </w:p>
    <w:p w14:paraId="11FA5D9C" w14:textId="5918817E" w:rsidR="00482B4A" w:rsidRPr="00482B4A" w:rsidRDefault="00482B4A" w:rsidP="00482B4A">
      <w:pPr>
        <w:pStyle w:val="ListParagraph"/>
        <w:numPr>
          <w:ilvl w:val="0"/>
          <w:numId w:val="67"/>
        </w:numPr>
        <w:rPr>
          <w:rFonts w:eastAsia="PMingLiU"/>
          <w:b/>
          <w:bCs/>
          <w:lang w:val="en-US" w:eastAsia="en-US"/>
        </w:rPr>
      </w:pPr>
      <w:r>
        <w:rPr>
          <w:rFonts w:eastAsia="PMingLiU"/>
          <w:b/>
          <w:bCs/>
          <w:lang w:val="en-US" w:eastAsia="en-US"/>
        </w:rPr>
        <w:t>N</w:t>
      </w:r>
      <w:r w:rsidRPr="00482B4A">
        <w:rPr>
          <w:rFonts w:eastAsia="PMingLiU"/>
          <w:b/>
          <w:bCs/>
          <w:lang w:val="en-US" w:eastAsia="en-US"/>
        </w:rPr>
        <w:t>umber of active TCI does not exceed that UE can support</w:t>
      </w:r>
      <w:r w:rsidR="008F618E">
        <w:rPr>
          <w:rFonts w:eastAsia="PMingLiU"/>
          <w:b/>
          <w:bCs/>
          <w:lang w:val="en-US" w:eastAsia="en-US"/>
        </w:rPr>
        <w:t>.</w:t>
      </w:r>
    </w:p>
    <w:p w14:paraId="33A485CF" w14:textId="77777777" w:rsidR="00482B4A" w:rsidRPr="00482B4A" w:rsidRDefault="00482B4A" w:rsidP="00482B4A">
      <w:pPr>
        <w:rPr>
          <w:rFonts w:eastAsia="PMingLiU"/>
          <w:lang w:val="en-US" w:eastAsia="en-US"/>
        </w:rPr>
      </w:pPr>
    </w:p>
    <w:p w14:paraId="05563966" w14:textId="1B6950F3" w:rsidR="00E310D5" w:rsidRDefault="00E310D5" w:rsidP="002E7623">
      <w:pPr>
        <w:pStyle w:val="Caption"/>
        <w:rPr>
          <w:lang w:val="en-CN"/>
        </w:rPr>
      </w:pPr>
    </w:p>
    <w:p w14:paraId="0827BE58" w14:textId="4E15D08A" w:rsidR="002E7623" w:rsidRPr="002E7623" w:rsidRDefault="002E7623" w:rsidP="002E7623">
      <w:pPr>
        <w:rPr>
          <w:lang w:eastAsia="en-US"/>
        </w:rPr>
      </w:pPr>
    </w:p>
    <w:p w14:paraId="57E4C35D" w14:textId="77777777" w:rsidR="00E310D5" w:rsidRPr="00EE49AB" w:rsidRDefault="004552DD">
      <w:pPr>
        <w:pStyle w:val="Heading1"/>
        <w:overflowPunct w:val="0"/>
        <w:autoSpaceDE w:val="0"/>
        <w:autoSpaceDN w:val="0"/>
        <w:adjustRightInd w:val="0"/>
        <w:spacing w:before="0" w:after="120"/>
        <w:rPr>
          <w:rFonts w:eastAsia="PMingLiU" w:cs="Arial"/>
          <w:lang w:val="en-US"/>
        </w:rPr>
      </w:pPr>
      <w:r w:rsidRPr="00EE49AB">
        <w:rPr>
          <w:rFonts w:eastAsia="PMingLiU" w:cs="Arial"/>
          <w:lang w:val="en-US"/>
        </w:rPr>
        <w:t>Conclusion</w:t>
      </w:r>
    </w:p>
    <w:bookmarkEnd w:id="0"/>
    <w:bookmarkEnd w:id="1"/>
    <w:p w14:paraId="186CE218" w14:textId="209CB25B" w:rsidR="00E75B89" w:rsidRDefault="0080742C" w:rsidP="00E75B89">
      <w:pPr>
        <w:spacing w:before="120" w:after="120"/>
        <w:jc w:val="both"/>
      </w:pPr>
      <w:r w:rsidRPr="00EE49AB">
        <w:t xml:space="preserve">In this contribution, we provide discussion on </w:t>
      </w:r>
      <w:r w:rsidR="00F96BA4" w:rsidRPr="00EE49AB">
        <w:t>measurement related enhancements for LTM</w:t>
      </w:r>
      <w:r w:rsidRPr="00EE49AB">
        <w:t>. After discussion, the following conclusions are provided:</w:t>
      </w:r>
    </w:p>
    <w:p w14:paraId="6CE87958" w14:textId="554E3645" w:rsidR="00EF40D9" w:rsidRPr="002C6678" w:rsidRDefault="002C6678" w:rsidP="00234395">
      <w:pPr>
        <w:spacing w:before="120" w:after="120"/>
        <w:jc w:val="both"/>
        <w:rPr>
          <w:b/>
          <w:bCs/>
        </w:rPr>
      </w:pPr>
      <w:r w:rsidRPr="002C6678">
        <w:rPr>
          <w:b/>
          <w:bCs/>
        </w:rPr>
        <w:fldChar w:fldCharType="begin"/>
      </w:r>
      <w:r w:rsidRPr="002C6678">
        <w:rPr>
          <w:b/>
          <w:bCs/>
        </w:rPr>
        <w:instrText xml:space="preserve"> REF _Ref193917974 \h  \* MERGEFORMAT </w:instrText>
      </w:r>
      <w:r w:rsidRPr="002C6678">
        <w:rPr>
          <w:b/>
          <w:bCs/>
        </w:rPr>
      </w:r>
      <w:r w:rsidRPr="002C6678">
        <w:rPr>
          <w:b/>
          <w:bCs/>
        </w:rPr>
        <w:fldChar w:fldCharType="separate"/>
      </w:r>
      <w:r w:rsidRPr="002C6678">
        <w:rPr>
          <w:b/>
          <w:bCs/>
        </w:rPr>
        <w:t xml:space="preserve">Proposal </w:t>
      </w:r>
      <w:r w:rsidRPr="002C6678">
        <w:rPr>
          <w:b/>
          <w:bCs/>
          <w:noProof/>
        </w:rPr>
        <w:t>1</w:t>
      </w:r>
      <w:r w:rsidRPr="002C6678">
        <w:rPr>
          <w:b/>
          <w:bCs/>
        </w:rPr>
        <w:t>: seems no need to capture assumptions listed under issue 2-1 into core requirements.</w:t>
      </w:r>
      <w:r w:rsidRPr="002C6678">
        <w:rPr>
          <w:b/>
          <w:bCs/>
        </w:rPr>
        <w:fldChar w:fldCharType="end"/>
      </w:r>
    </w:p>
    <w:p w14:paraId="505B44FF" w14:textId="3484C5C4" w:rsidR="002C6678" w:rsidRPr="002C6678" w:rsidRDefault="002C6678" w:rsidP="00234395">
      <w:pPr>
        <w:spacing w:before="120" w:after="120"/>
        <w:jc w:val="both"/>
        <w:rPr>
          <w:b/>
          <w:bCs/>
        </w:rPr>
      </w:pPr>
      <w:r w:rsidRPr="002C6678">
        <w:rPr>
          <w:b/>
          <w:bCs/>
        </w:rPr>
        <w:fldChar w:fldCharType="begin"/>
      </w:r>
      <w:r w:rsidRPr="002C6678">
        <w:rPr>
          <w:b/>
          <w:bCs/>
        </w:rPr>
        <w:instrText xml:space="preserve"> REF _Ref193918015 \h  \* MERGEFORMAT </w:instrText>
      </w:r>
      <w:r w:rsidRPr="002C6678">
        <w:rPr>
          <w:b/>
          <w:bCs/>
        </w:rPr>
      </w:r>
      <w:r w:rsidRPr="002C6678">
        <w:rPr>
          <w:b/>
          <w:bCs/>
        </w:rPr>
        <w:fldChar w:fldCharType="separate"/>
      </w:r>
      <w:r w:rsidRPr="002C6678">
        <w:rPr>
          <w:b/>
          <w:bCs/>
        </w:rPr>
        <w:t xml:space="preserve">Proposal </w:t>
      </w:r>
      <w:r w:rsidRPr="002C6678">
        <w:rPr>
          <w:b/>
          <w:bCs/>
          <w:noProof/>
        </w:rPr>
        <w:t>2</w:t>
      </w:r>
      <w:r w:rsidRPr="002C6678">
        <w:rPr>
          <w:b/>
          <w:bCs/>
        </w:rPr>
        <w:t xml:space="preserve">: </w:t>
      </w:r>
      <w:r w:rsidRPr="002C6678">
        <w:rPr>
          <w:b/>
          <w:bCs/>
          <w:lang w:val="en-US"/>
        </w:rPr>
        <w:t>Event triggered reporting delay for L1 reporting:</w:t>
      </w:r>
      <w:r w:rsidRPr="002C6678">
        <w:rPr>
          <w:b/>
          <w:bCs/>
        </w:rPr>
        <w:fldChar w:fldCharType="end"/>
      </w:r>
    </w:p>
    <w:p w14:paraId="450353D3" w14:textId="77777777" w:rsidR="002C6678" w:rsidRPr="002C6678" w:rsidRDefault="002C6678" w:rsidP="002C6678">
      <w:pPr>
        <w:pStyle w:val="ListParagraph"/>
        <w:numPr>
          <w:ilvl w:val="0"/>
          <w:numId w:val="67"/>
        </w:numPr>
        <w:rPr>
          <w:b/>
          <w:bCs/>
          <w:sz w:val="21"/>
          <w:szCs w:val="21"/>
          <w:lang w:val="en-US"/>
        </w:rPr>
      </w:pPr>
      <w:r w:rsidRPr="002C6678">
        <w:rPr>
          <w:b/>
          <w:bCs/>
          <w:sz w:val="21"/>
          <w:szCs w:val="21"/>
          <w:lang w:val="en-US"/>
        </w:rPr>
        <w:t>The event triggered measurement reporting delay shall be no larger than the L1-RSRP measurement period on the cells corresponding to the event.</w:t>
      </w:r>
    </w:p>
    <w:p w14:paraId="2BB39261" w14:textId="77777777" w:rsidR="002C6678" w:rsidRPr="002C6678" w:rsidRDefault="002C6678" w:rsidP="002C6678">
      <w:pPr>
        <w:pStyle w:val="ListParagraph"/>
        <w:numPr>
          <w:ilvl w:val="1"/>
          <w:numId w:val="67"/>
        </w:numPr>
        <w:rPr>
          <w:b/>
          <w:bCs/>
          <w:sz w:val="21"/>
          <w:szCs w:val="21"/>
          <w:lang w:val="en-US"/>
        </w:rPr>
      </w:pPr>
      <w:r w:rsidRPr="002C6678">
        <w:rPr>
          <w:b/>
          <w:bCs/>
          <w:sz w:val="21"/>
          <w:szCs w:val="21"/>
          <w:lang w:val="en-US"/>
        </w:rPr>
        <w:t>The measurement period on the LTM candidate cells is based on the Rel-18 requirement, with the assumption of Treport is 0.</w:t>
      </w:r>
    </w:p>
    <w:p w14:paraId="23036D14" w14:textId="77777777" w:rsidR="002C6678" w:rsidRPr="002C6678" w:rsidRDefault="002C6678" w:rsidP="002C6678">
      <w:pPr>
        <w:pStyle w:val="ListParagraph"/>
        <w:numPr>
          <w:ilvl w:val="0"/>
          <w:numId w:val="67"/>
        </w:numPr>
        <w:rPr>
          <w:b/>
          <w:bCs/>
          <w:sz w:val="21"/>
          <w:szCs w:val="21"/>
          <w:lang w:val="en-US"/>
        </w:rPr>
      </w:pPr>
      <w:r w:rsidRPr="002C6678">
        <w:rPr>
          <w:b/>
          <w:bCs/>
          <w:sz w:val="21"/>
          <w:szCs w:val="21"/>
          <w:lang w:val="en-US"/>
        </w:rPr>
        <w:t>For periodic MR: after the first report, UE follow the network configuration on the reporting interval.</w:t>
      </w:r>
    </w:p>
    <w:p w14:paraId="60561EF8" w14:textId="64A3BBBB" w:rsidR="002C6678" w:rsidRPr="002C6678" w:rsidRDefault="002C6678" w:rsidP="00234395">
      <w:pPr>
        <w:spacing w:before="120" w:after="120"/>
        <w:jc w:val="both"/>
        <w:rPr>
          <w:b/>
          <w:bCs/>
        </w:rPr>
      </w:pPr>
      <w:r w:rsidRPr="002C6678">
        <w:rPr>
          <w:b/>
          <w:bCs/>
        </w:rPr>
        <w:fldChar w:fldCharType="begin"/>
      </w:r>
      <w:r w:rsidRPr="002C6678">
        <w:rPr>
          <w:b/>
          <w:bCs/>
        </w:rPr>
        <w:instrText xml:space="preserve"> REF _Ref193918020 \h  \* MERGEFORMAT </w:instrText>
      </w:r>
      <w:r w:rsidRPr="002C6678">
        <w:rPr>
          <w:b/>
          <w:bCs/>
        </w:rPr>
      </w:r>
      <w:r w:rsidRPr="002C6678">
        <w:rPr>
          <w:b/>
          <w:bCs/>
        </w:rPr>
        <w:fldChar w:fldCharType="separate"/>
      </w:r>
      <w:r w:rsidRPr="002C6678">
        <w:rPr>
          <w:b/>
          <w:bCs/>
        </w:rPr>
        <w:t xml:space="preserve">Proposal </w:t>
      </w:r>
      <w:r w:rsidRPr="002C6678">
        <w:rPr>
          <w:b/>
          <w:bCs/>
          <w:noProof/>
        </w:rPr>
        <w:t>3</w:t>
      </w:r>
      <w:r w:rsidRPr="002C6678">
        <w:rPr>
          <w:b/>
          <w:bCs/>
        </w:rPr>
        <w:t xml:space="preserve">: assuming </w:t>
      </w:r>
      <w:r w:rsidRPr="002C6678">
        <w:rPr>
          <w:rFonts w:eastAsia="PMingLiU"/>
          <w:b/>
          <w:bCs/>
          <w:lang w:val="en-US"/>
        </w:rPr>
        <w:t>new UE capabilities regarding support of event triggering needs to be introduced, RAN4 shall discuss whether it is still necessary to update/introduce new Event Triggering and Reporting Criteria for LTM.</w:t>
      </w:r>
      <w:r w:rsidRPr="002C6678">
        <w:rPr>
          <w:b/>
          <w:bCs/>
        </w:rPr>
        <w:fldChar w:fldCharType="end"/>
      </w:r>
    </w:p>
    <w:p w14:paraId="5044DCD5" w14:textId="7865D25E" w:rsidR="002C6678" w:rsidRPr="002C6678" w:rsidRDefault="002C6678" w:rsidP="00234395">
      <w:pPr>
        <w:spacing w:before="120" w:after="120"/>
        <w:jc w:val="both"/>
        <w:rPr>
          <w:b/>
          <w:bCs/>
        </w:rPr>
      </w:pPr>
      <w:r w:rsidRPr="002C6678">
        <w:rPr>
          <w:b/>
          <w:bCs/>
        </w:rPr>
        <w:fldChar w:fldCharType="begin"/>
      </w:r>
      <w:r w:rsidRPr="002C6678">
        <w:rPr>
          <w:b/>
          <w:bCs/>
        </w:rPr>
        <w:instrText xml:space="preserve"> REF _Ref197631027 \h  \* MERGEFORMAT </w:instrText>
      </w:r>
      <w:r w:rsidRPr="002C6678">
        <w:rPr>
          <w:b/>
          <w:bCs/>
        </w:rPr>
      </w:r>
      <w:r w:rsidRPr="002C6678">
        <w:rPr>
          <w:b/>
          <w:bCs/>
        </w:rPr>
        <w:fldChar w:fldCharType="separate"/>
      </w:r>
      <w:r w:rsidRPr="002C6678">
        <w:rPr>
          <w:b/>
          <w:bCs/>
        </w:rPr>
        <w:t xml:space="preserve">Proposal </w:t>
      </w:r>
      <w:r w:rsidRPr="002C6678">
        <w:rPr>
          <w:b/>
          <w:bCs/>
          <w:noProof/>
        </w:rPr>
        <w:t>5</w:t>
      </w:r>
      <w:r w:rsidRPr="002C6678">
        <w:rPr>
          <w:b/>
          <w:bCs/>
        </w:rPr>
        <w:t>:</w:t>
      </w:r>
      <w:r w:rsidRPr="002C6678">
        <w:rPr>
          <w:rFonts w:eastAsia="PMingLiU"/>
          <w:b/>
          <w:bCs/>
          <w:lang w:val="en-US"/>
        </w:rPr>
        <w:t xml:space="preserve">  add the following condition on agreements under issue 2-7 in RAN4#114bis:</w:t>
      </w:r>
      <w:r w:rsidRPr="002C6678">
        <w:rPr>
          <w:b/>
          <w:bCs/>
        </w:rPr>
        <w:fldChar w:fldCharType="end"/>
      </w:r>
    </w:p>
    <w:p w14:paraId="26E9EBCB" w14:textId="77777777" w:rsidR="002C6678" w:rsidRPr="002C6678" w:rsidRDefault="002C6678" w:rsidP="002C6678">
      <w:pPr>
        <w:pStyle w:val="ListParagraph"/>
        <w:numPr>
          <w:ilvl w:val="0"/>
          <w:numId w:val="67"/>
        </w:numPr>
        <w:rPr>
          <w:rFonts w:eastAsia="PMingLiU"/>
          <w:b/>
          <w:bCs/>
          <w:lang w:val="en-US" w:eastAsia="en-US"/>
        </w:rPr>
      </w:pPr>
      <w:r w:rsidRPr="002C6678">
        <w:rPr>
          <w:rFonts w:eastAsia="PMingLiU"/>
          <w:b/>
          <w:bCs/>
          <w:lang w:val="en-US" w:eastAsia="en-US"/>
        </w:rPr>
        <w:t>Number of active TCI does not exceed that UE can support.</w:t>
      </w:r>
    </w:p>
    <w:p w14:paraId="09EFB74A" w14:textId="77777777" w:rsidR="005E2E89" w:rsidRPr="002C6678" w:rsidRDefault="005E2E89" w:rsidP="00234395">
      <w:pPr>
        <w:spacing w:before="120" w:after="120"/>
        <w:jc w:val="both"/>
        <w:rPr>
          <w:lang w:val="en-US"/>
        </w:rPr>
      </w:pPr>
    </w:p>
    <w:p w14:paraId="32B7C684" w14:textId="77777777" w:rsidR="005C6854" w:rsidRPr="00EE49AB" w:rsidRDefault="005C6854" w:rsidP="00653A7D">
      <w:pPr>
        <w:rPr>
          <w:b/>
          <w:bCs/>
          <w:lang w:eastAsia="en-US"/>
        </w:rPr>
      </w:pPr>
    </w:p>
    <w:p w14:paraId="5163CAA2" w14:textId="77777777" w:rsidR="00E310D5" w:rsidRPr="00EE49AB" w:rsidRDefault="004552DD">
      <w:pPr>
        <w:pStyle w:val="Heading1"/>
        <w:overflowPunct w:val="0"/>
        <w:autoSpaceDE w:val="0"/>
        <w:autoSpaceDN w:val="0"/>
        <w:adjustRightInd w:val="0"/>
        <w:spacing w:before="0" w:after="120"/>
        <w:rPr>
          <w:rFonts w:eastAsia="PMingLiU" w:cs="Arial"/>
          <w:lang w:val="en-US"/>
        </w:rPr>
      </w:pPr>
      <w:r w:rsidRPr="00EE49AB">
        <w:rPr>
          <w:rFonts w:eastAsia="PMingLiU" w:cs="Arial"/>
          <w:lang w:val="en-US" w:eastAsia="zh-TW"/>
        </w:rPr>
        <w:t>R</w:t>
      </w:r>
      <w:r w:rsidRPr="00EE49AB">
        <w:rPr>
          <w:rFonts w:eastAsia="PMingLiU" w:cs="Arial"/>
          <w:lang w:val="en-US"/>
        </w:rPr>
        <w:t>eference</w:t>
      </w:r>
    </w:p>
    <w:p w14:paraId="7C618396" w14:textId="039BAE62" w:rsidR="00E310D5" w:rsidRPr="00EE49AB" w:rsidRDefault="00524109" w:rsidP="0096625C">
      <w:pPr>
        <w:pStyle w:val="ListParagraph"/>
        <w:numPr>
          <w:ilvl w:val="0"/>
          <w:numId w:val="21"/>
        </w:numPr>
        <w:spacing w:after="120"/>
        <w:rPr>
          <w:bCs/>
          <w:lang w:val="en-US"/>
        </w:rPr>
      </w:pPr>
      <w:r w:rsidRPr="00524109">
        <w:rPr>
          <w:bCs/>
          <w:lang w:val="en-US"/>
        </w:rPr>
        <w:t>R4-</w:t>
      </w:r>
      <w:r w:rsidR="00AE3354" w:rsidRPr="00AE3354">
        <w:rPr>
          <w:bCs/>
          <w:lang w:val="en-CN"/>
        </w:rPr>
        <w:t>2504965</w:t>
      </w:r>
      <w:r w:rsidR="00370D34" w:rsidRPr="00EE49AB">
        <w:rPr>
          <w:bCs/>
          <w:lang w:val="en-US"/>
        </w:rPr>
        <w:t xml:space="preserve">, </w:t>
      </w:r>
      <w:r w:rsidR="00F14988" w:rsidRPr="00F14988">
        <w:rPr>
          <w:bCs/>
          <w:lang w:val="en-US"/>
        </w:rPr>
        <w:t>WF on RRM requirements for NR_Mob_Ph4_Part1</w:t>
      </w:r>
      <w:r w:rsidR="00470024" w:rsidRPr="00EE49AB">
        <w:rPr>
          <w:bCs/>
          <w:lang w:val="en-US"/>
        </w:rPr>
        <w:t xml:space="preserve">, </w:t>
      </w:r>
      <w:r w:rsidR="00370D34" w:rsidRPr="00EE49AB">
        <w:rPr>
          <w:bCs/>
          <w:lang w:val="en-US"/>
        </w:rPr>
        <w:t>Apple</w:t>
      </w:r>
    </w:p>
    <w:sectPr w:rsidR="00E310D5" w:rsidRPr="00EE49AB"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2BED9" w14:textId="77777777" w:rsidR="00EE4F24" w:rsidRDefault="00EE4F24">
      <w:r>
        <w:separator/>
      </w:r>
    </w:p>
  </w:endnote>
  <w:endnote w:type="continuationSeparator" w:id="0">
    <w:p w14:paraId="5461C1BD" w14:textId="77777777" w:rsidR="00EE4F24" w:rsidRDefault="00EE4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05501F" w14:textId="77777777" w:rsidR="00EE4F24" w:rsidRDefault="00EE4F24">
      <w:r>
        <w:separator/>
      </w:r>
    </w:p>
  </w:footnote>
  <w:footnote w:type="continuationSeparator" w:id="0">
    <w:p w14:paraId="1CB510C6" w14:textId="77777777" w:rsidR="00EE4F24" w:rsidRDefault="00EE4F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821BF"/>
    <w:multiLevelType w:val="multilevel"/>
    <w:tmpl w:val="B232C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CA5EBE"/>
    <w:multiLevelType w:val="multilevel"/>
    <w:tmpl w:val="EC7E6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760285F"/>
    <w:multiLevelType w:val="multilevel"/>
    <w:tmpl w:val="10AE54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AA250E"/>
    <w:multiLevelType w:val="multilevel"/>
    <w:tmpl w:val="775EC4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6"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4"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221F46"/>
    <w:multiLevelType w:val="multilevel"/>
    <w:tmpl w:val="D270B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5D055E"/>
    <w:multiLevelType w:val="hybridMultilevel"/>
    <w:tmpl w:val="86FE3B56"/>
    <w:lvl w:ilvl="0" w:tplc="9F2CC330">
      <w:start w:val="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9B1E75"/>
    <w:multiLevelType w:val="multilevel"/>
    <w:tmpl w:val="26C6EE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9662149"/>
    <w:multiLevelType w:val="multilevel"/>
    <w:tmpl w:val="6E0C4F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6"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6832B8"/>
    <w:multiLevelType w:val="multilevel"/>
    <w:tmpl w:val="17DCC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8446FF1"/>
    <w:multiLevelType w:val="multilevel"/>
    <w:tmpl w:val="98DA6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5"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736944"/>
    <w:multiLevelType w:val="multilevel"/>
    <w:tmpl w:val="5F0CB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6F0981"/>
    <w:multiLevelType w:val="multilevel"/>
    <w:tmpl w:val="7D50C8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1820FE0"/>
    <w:multiLevelType w:val="multilevel"/>
    <w:tmpl w:val="48C89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2F06646"/>
    <w:multiLevelType w:val="hybridMultilevel"/>
    <w:tmpl w:val="4C7A3C82"/>
    <w:lvl w:ilvl="0" w:tplc="8C4476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6DD687A"/>
    <w:multiLevelType w:val="multilevel"/>
    <w:tmpl w:val="9E1C1D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8CC1616"/>
    <w:multiLevelType w:val="multilevel"/>
    <w:tmpl w:val="EF96EB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CB518F6"/>
    <w:multiLevelType w:val="hybridMultilevel"/>
    <w:tmpl w:val="9078F17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58" w15:restartNumberingAfterBreak="0">
    <w:nsid w:val="7139792C"/>
    <w:multiLevelType w:val="multilevel"/>
    <w:tmpl w:val="D9CE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B20CF2"/>
    <w:multiLevelType w:val="multilevel"/>
    <w:tmpl w:val="B6AEB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837227F"/>
    <w:multiLevelType w:val="multilevel"/>
    <w:tmpl w:val="3A0083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89B1A73"/>
    <w:multiLevelType w:val="multilevel"/>
    <w:tmpl w:val="CF161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5"/>
  </w:num>
  <w:num w:numId="2" w16cid:durableId="1073162039">
    <w:abstractNumId w:val="23"/>
  </w:num>
  <w:num w:numId="3" w16cid:durableId="881670819">
    <w:abstractNumId w:val="66"/>
  </w:num>
  <w:num w:numId="4" w16cid:durableId="303782287">
    <w:abstractNumId w:val="57"/>
  </w:num>
  <w:num w:numId="5" w16cid:durableId="2120685336">
    <w:abstractNumId w:val="7"/>
  </w:num>
  <w:num w:numId="6" w16cid:durableId="84543986">
    <w:abstractNumId w:val="14"/>
  </w:num>
  <w:num w:numId="7" w16cid:durableId="1945187406">
    <w:abstractNumId w:val="41"/>
  </w:num>
  <w:num w:numId="8" w16cid:durableId="735593510">
    <w:abstractNumId w:val="3"/>
  </w:num>
  <w:num w:numId="9" w16cid:durableId="638069988">
    <w:abstractNumId w:val="27"/>
  </w:num>
  <w:num w:numId="10" w16cid:durableId="1396661914">
    <w:abstractNumId w:val="47"/>
  </w:num>
  <w:num w:numId="11" w16cid:durableId="1800757120">
    <w:abstractNumId w:val="51"/>
  </w:num>
  <w:num w:numId="12" w16cid:durableId="2041008354">
    <w:abstractNumId w:val="16"/>
  </w:num>
  <w:num w:numId="13" w16cid:durableId="1250429690">
    <w:abstractNumId w:val="5"/>
  </w:num>
  <w:num w:numId="14" w16cid:durableId="1771386659">
    <w:abstractNumId w:val="17"/>
  </w:num>
  <w:num w:numId="15" w16cid:durableId="1590507970">
    <w:abstractNumId w:val="19"/>
  </w:num>
  <w:num w:numId="16" w16cid:durableId="595597386">
    <w:abstractNumId w:val="37"/>
  </w:num>
  <w:num w:numId="17" w16cid:durableId="562645621">
    <w:abstractNumId w:val="2"/>
  </w:num>
  <w:num w:numId="18" w16cid:durableId="204997492">
    <w:abstractNumId w:val="25"/>
  </w:num>
  <w:num w:numId="19" w16cid:durableId="993946193">
    <w:abstractNumId w:val="65"/>
  </w:num>
  <w:num w:numId="20" w16cid:durableId="2129546323">
    <w:abstractNumId w:val="28"/>
  </w:num>
  <w:num w:numId="21" w16cid:durableId="59064430">
    <w:abstractNumId w:val="10"/>
  </w:num>
  <w:num w:numId="22" w16cid:durableId="545794119">
    <w:abstractNumId w:val="20"/>
  </w:num>
  <w:num w:numId="23" w16cid:durableId="1081871988">
    <w:abstractNumId w:val="6"/>
  </w:num>
  <w:num w:numId="24" w16cid:durableId="753160996">
    <w:abstractNumId w:val="52"/>
  </w:num>
  <w:num w:numId="25" w16cid:durableId="1316371440">
    <w:abstractNumId w:val="40"/>
  </w:num>
  <w:num w:numId="26" w16cid:durableId="853571246">
    <w:abstractNumId w:val="31"/>
  </w:num>
  <w:num w:numId="27" w16cid:durableId="1848057231">
    <w:abstractNumId w:val="45"/>
  </w:num>
  <w:num w:numId="28" w16cid:durableId="1175027039">
    <w:abstractNumId w:val="26"/>
  </w:num>
  <w:num w:numId="29" w16cid:durableId="431121809">
    <w:abstractNumId w:val="15"/>
  </w:num>
  <w:num w:numId="30" w16cid:durableId="1026834126">
    <w:abstractNumId w:val="39"/>
  </w:num>
  <w:num w:numId="31" w16cid:durableId="1958172824">
    <w:abstractNumId w:val="67"/>
  </w:num>
  <w:num w:numId="32" w16cid:durableId="496507410">
    <w:abstractNumId w:val="44"/>
  </w:num>
  <w:num w:numId="33" w16cid:durableId="144126845">
    <w:abstractNumId w:val="34"/>
  </w:num>
  <w:num w:numId="34" w16cid:durableId="1951280964">
    <w:abstractNumId w:val="18"/>
    <w:lvlOverride w:ilvl="0">
      <w:startOverride w:val="1"/>
    </w:lvlOverride>
  </w:num>
  <w:num w:numId="35" w16cid:durableId="1616256735">
    <w:abstractNumId w:val="11"/>
  </w:num>
  <w:num w:numId="36" w16cid:durableId="617027336">
    <w:abstractNumId w:val="64"/>
  </w:num>
  <w:num w:numId="37" w16cid:durableId="409817756">
    <w:abstractNumId w:val="24"/>
  </w:num>
  <w:num w:numId="38" w16cid:durableId="1269969812">
    <w:abstractNumId w:val="61"/>
  </w:num>
  <w:num w:numId="39" w16cid:durableId="1597013109">
    <w:abstractNumId w:val="55"/>
  </w:num>
  <w:num w:numId="40" w16cid:durableId="1104031393">
    <w:abstractNumId w:val="36"/>
  </w:num>
  <w:num w:numId="41" w16cid:durableId="1244996927">
    <w:abstractNumId w:val="0"/>
  </w:num>
  <w:num w:numId="42" w16cid:durableId="694309998">
    <w:abstractNumId w:val="13"/>
  </w:num>
  <w:num w:numId="43" w16cid:durableId="1065376972">
    <w:abstractNumId w:val="12"/>
  </w:num>
  <w:num w:numId="44" w16cid:durableId="1774282391">
    <w:abstractNumId w:val="38"/>
  </w:num>
  <w:num w:numId="45" w16cid:durableId="498472554">
    <w:abstractNumId w:val="33"/>
  </w:num>
  <w:num w:numId="46" w16cid:durableId="1768884386">
    <w:abstractNumId w:val="9"/>
  </w:num>
  <w:num w:numId="47" w16cid:durableId="1814831695">
    <w:abstractNumId w:val="42"/>
  </w:num>
  <w:num w:numId="48" w16cid:durableId="563880483">
    <w:abstractNumId w:val="4"/>
  </w:num>
  <w:num w:numId="49" w16cid:durableId="1253589415">
    <w:abstractNumId w:val="29"/>
  </w:num>
  <w:num w:numId="50" w16cid:durableId="676151005">
    <w:abstractNumId w:val="59"/>
  </w:num>
  <w:num w:numId="51" w16cid:durableId="1694762730">
    <w:abstractNumId w:val="49"/>
  </w:num>
  <w:num w:numId="52" w16cid:durableId="1707871154">
    <w:abstractNumId w:val="63"/>
  </w:num>
  <w:num w:numId="53" w16cid:durableId="1973556721">
    <w:abstractNumId w:val="53"/>
  </w:num>
  <w:num w:numId="54" w16cid:durableId="647172556">
    <w:abstractNumId w:val="1"/>
  </w:num>
  <w:num w:numId="55" w16cid:durableId="1507355623">
    <w:abstractNumId w:val="62"/>
  </w:num>
  <w:num w:numId="56" w16cid:durableId="1528064420">
    <w:abstractNumId w:val="32"/>
  </w:num>
  <w:num w:numId="57" w16cid:durableId="1233665136">
    <w:abstractNumId w:val="8"/>
  </w:num>
  <w:num w:numId="58" w16cid:durableId="204489366">
    <w:abstractNumId w:val="48"/>
  </w:num>
  <w:num w:numId="59" w16cid:durableId="160053062">
    <w:abstractNumId w:val="21"/>
  </w:num>
  <w:num w:numId="60" w16cid:durableId="700938790">
    <w:abstractNumId w:val="30"/>
  </w:num>
  <w:num w:numId="61" w16cid:durableId="1502966681">
    <w:abstractNumId w:val="54"/>
  </w:num>
  <w:num w:numId="62" w16cid:durableId="1047534327">
    <w:abstractNumId w:val="58"/>
  </w:num>
  <w:num w:numId="63" w16cid:durableId="1113863263">
    <w:abstractNumId w:val="43"/>
  </w:num>
  <w:num w:numId="64" w16cid:durableId="330839683">
    <w:abstractNumId w:val="46"/>
    <w:lvlOverride w:ilvl="0">
      <w:startOverride w:val="1"/>
    </w:lvlOverride>
  </w:num>
  <w:num w:numId="65" w16cid:durableId="1692141192">
    <w:abstractNumId w:val="56"/>
  </w:num>
  <w:num w:numId="66" w16cid:durableId="888808021">
    <w:abstractNumId w:val="50"/>
  </w:num>
  <w:num w:numId="67" w16cid:durableId="970280633">
    <w:abstractNumId w:val="60"/>
  </w:num>
  <w:num w:numId="68" w16cid:durableId="7002013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4D3"/>
    <w:rsid w:val="000036FF"/>
    <w:rsid w:val="0000374A"/>
    <w:rsid w:val="00003DA1"/>
    <w:rsid w:val="0000420A"/>
    <w:rsid w:val="0000423F"/>
    <w:rsid w:val="0000426A"/>
    <w:rsid w:val="000047FD"/>
    <w:rsid w:val="00004B24"/>
    <w:rsid w:val="00004F1A"/>
    <w:rsid w:val="000051D6"/>
    <w:rsid w:val="00005242"/>
    <w:rsid w:val="000057A8"/>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E81"/>
    <w:rsid w:val="00024FA7"/>
    <w:rsid w:val="000256F9"/>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55D"/>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36D"/>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947"/>
    <w:rsid w:val="00056A1A"/>
    <w:rsid w:val="00057051"/>
    <w:rsid w:val="0005714B"/>
    <w:rsid w:val="00057313"/>
    <w:rsid w:val="00057364"/>
    <w:rsid w:val="00057BB7"/>
    <w:rsid w:val="00060097"/>
    <w:rsid w:val="00060288"/>
    <w:rsid w:val="000602A0"/>
    <w:rsid w:val="000602C2"/>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181"/>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2D"/>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1A4"/>
    <w:rsid w:val="00094F98"/>
    <w:rsid w:val="0009501F"/>
    <w:rsid w:val="000956F2"/>
    <w:rsid w:val="00095C3C"/>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4DF7"/>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560"/>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67B"/>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3F6"/>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87E"/>
    <w:rsid w:val="00107ACC"/>
    <w:rsid w:val="00107C9F"/>
    <w:rsid w:val="00107FAB"/>
    <w:rsid w:val="00110F55"/>
    <w:rsid w:val="0011102B"/>
    <w:rsid w:val="001118BE"/>
    <w:rsid w:val="00111A08"/>
    <w:rsid w:val="00111C9C"/>
    <w:rsid w:val="00111CC1"/>
    <w:rsid w:val="00112549"/>
    <w:rsid w:val="00112A8E"/>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5AF"/>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0C23"/>
    <w:rsid w:val="0014152E"/>
    <w:rsid w:val="001417F3"/>
    <w:rsid w:val="00141FD4"/>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2AC1"/>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67784"/>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253"/>
    <w:rsid w:val="00184A69"/>
    <w:rsid w:val="00184B3A"/>
    <w:rsid w:val="00185585"/>
    <w:rsid w:val="00185F08"/>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64"/>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5B6"/>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623"/>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2B9B"/>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2AE"/>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124"/>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A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25C"/>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295"/>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88D"/>
    <w:rsid w:val="002A199E"/>
    <w:rsid w:val="002A19A1"/>
    <w:rsid w:val="002A1D59"/>
    <w:rsid w:val="002A2420"/>
    <w:rsid w:val="002A30E5"/>
    <w:rsid w:val="002A3207"/>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096B"/>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D33"/>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678"/>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194"/>
    <w:rsid w:val="002D52C2"/>
    <w:rsid w:val="002D55D2"/>
    <w:rsid w:val="002D5842"/>
    <w:rsid w:val="002D5A84"/>
    <w:rsid w:val="002D5AD7"/>
    <w:rsid w:val="002D5D84"/>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623"/>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010F"/>
    <w:rsid w:val="003112F7"/>
    <w:rsid w:val="003113C2"/>
    <w:rsid w:val="0031148E"/>
    <w:rsid w:val="0031184C"/>
    <w:rsid w:val="003118B2"/>
    <w:rsid w:val="00311CCC"/>
    <w:rsid w:val="00311DF7"/>
    <w:rsid w:val="00311FBE"/>
    <w:rsid w:val="0031224B"/>
    <w:rsid w:val="00312843"/>
    <w:rsid w:val="0031297B"/>
    <w:rsid w:val="00312B50"/>
    <w:rsid w:val="00313246"/>
    <w:rsid w:val="0031325E"/>
    <w:rsid w:val="00313353"/>
    <w:rsid w:val="003133C2"/>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472"/>
    <w:rsid w:val="00322E5D"/>
    <w:rsid w:val="003233BD"/>
    <w:rsid w:val="00323595"/>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AF0"/>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202"/>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196"/>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0E1"/>
    <w:rsid w:val="00376538"/>
    <w:rsid w:val="00376539"/>
    <w:rsid w:val="0037658A"/>
    <w:rsid w:val="003768A4"/>
    <w:rsid w:val="00376BF9"/>
    <w:rsid w:val="00376CE7"/>
    <w:rsid w:val="0037760F"/>
    <w:rsid w:val="003777D2"/>
    <w:rsid w:val="0037794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3A8"/>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12"/>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4FB2"/>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70F"/>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DB7"/>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9F8"/>
    <w:rsid w:val="003C1C77"/>
    <w:rsid w:val="003C1CA3"/>
    <w:rsid w:val="003C1F65"/>
    <w:rsid w:val="003C22C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62B"/>
    <w:rsid w:val="003D6819"/>
    <w:rsid w:val="003D69F9"/>
    <w:rsid w:val="003D6AC9"/>
    <w:rsid w:val="003D7326"/>
    <w:rsid w:val="003D7654"/>
    <w:rsid w:val="003D77DA"/>
    <w:rsid w:val="003D7960"/>
    <w:rsid w:val="003E016D"/>
    <w:rsid w:val="003E01D0"/>
    <w:rsid w:val="003E0211"/>
    <w:rsid w:val="003E026A"/>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D16"/>
    <w:rsid w:val="003F3F8A"/>
    <w:rsid w:val="003F44CC"/>
    <w:rsid w:val="003F4580"/>
    <w:rsid w:val="003F45D9"/>
    <w:rsid w:val="003F4603"/>
    <w:rsid w:val="003F4788"/>
    <w:rsid w:val="003F4D4E"/>
    <w:rsid w:val="003F50FE"/>
    <w:rsid w:val="003F55AD"/>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1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4A3"/>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50E"/>
    <w:rsid w:val="00440515"/>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733"/>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60C"/>
    <w:rsid w:val="0047199E"/>
    <w:rsid w:val="00471AE3"/>
    <w:rsid w:val="00471B30"/>
    <w:rsid w:val="00471DE3"/>
    <w:rsid w:val="0047256C"/>
    <w:rsid w:val="00473385"/>
    <w:rsid w:val="004734FF"/>
    <w:rsid w:val="004736CE"/>
    <w:rsid w:val="004739CA"/>
    <w:rsid w:val="004739D2"/>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B4A"/>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9D2"/>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2D07"/>
    <w:rsid w:val="004935B8"/>
    <w:rsid w:val="0049383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5E7"/>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45"/>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85C"/>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7F4"/>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109"/>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0C4"/>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5FD"/>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372"/>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7C4"/>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4B13"/>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5ED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489"/>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2C2"/>
    <w:rsid w:val="005C2317"/>
    <w:rsid w:val="005C24CB"/>
    <w:rsid w:val="005C25BF"/>
    <w:rsid w:val="005C2969"/>
    <w:rsid w:val="005C2D0E"/>
    <w:rsid w:val="005C2FCA"/>
    <w:rsid w:val="005C3050"/>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AF9"/>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036"/>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E89"/>
    <w:rsid w:val="005E2F77"/>
    <w:rsid w:val="005E3231"/>
    <w:rsid w:val="005E35F5"/>
    <w:rsid w:val="005E3658"/>
    <w:rsid w:val="005E3A15"/>
    <w:rsid w:val="005E3B1F"/>
    <w:rsid w:val="005E3EAA"/>
    <w:rsid w:val="005E44FF"/>
    <w:rsid w:val="005E4C6A"/>
    <w:rsid w:val="005E4DA7"/>
    <w:rsid w:val="005E5947"/>
    <w:rsid w:val="005E5A60"/>
    <w:rsid w:val="005E5B3F"/>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3B4"/>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A8B"/>
    <w:rsid w:val="005F7BB6"/>
    <w:rsid w:val="0060018D"/>
    <w:rsid w:val="0060055C"/>
    <w:rsid w:val="006009C2"/>
    <w:rsid w:val="00600E91"/>
    <w:rsid w:val="00600EEB"/>
    <w:rsid w:val="00601355"/>
    <w:rsid w:val="00601A8A"/>
    <w:rsid w:val="00602186"/>
    <w:rsid w:val="006023D3"/>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385E"/>
    <w:rsid w:val="006144C0"/>
    <w:rsid w:val="006145FF"/>
    <w:rsid w:val="00614B2C"/>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2A"/>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6E0"/>
    <w:rsid w:val="006277E7"/>
    <w:rsid w:val="00627D9A"/>
    <w:rsid w:val="00630138"/>
    <w:rsid w:val="00630880"/>
    <w:rsid w:val="00630C02"/>
    <w:rsid w:val="00630DB7"/>
    <w:rsid w:val="0063127E"/>
    <w:rsid w:val="006315CA"/>
    <w:rsid w:val="0063169B"/>
    <w:rsid w:val="00631907"/>
    <w:rsid w:val="006325C9"/>
    <w:rsid w:val="0063301F"/>
    <w:rsid w:val="00633653"/>
    <w:rsid w:val="00633745"/>
    <w:rsid w:val="00633AD4"/>
    <w:rsid w:val="00634071"/>
    <w:rsid w:val="00634DF3"/>
    <w:rsid w:val="00635005"/>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696"/>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729"/>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2A"/>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47"/>
    <w:rsid w:val="00683CE8"/>
    <w:rsid w:val="00684759"/>
    <w:rsid w:val="006849A3"/>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604"/>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188"/>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59A"/>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AD7"/>
    <w:rsid w:val="00732D7D"/>
    <w:rsid w:val="00732D81"/>
    <w:rsid w:val="00733293"/>
    <w:rsid w:val="00733445"/>
    <w:rsid w:val="00733819"/>
    <w:rsid w:val="00733C05"/>
    <w:rsid w:val="00733FE4"/>
    <w:rsid w:val="00734166"/>
    <w:rsid w:val="00734181"/>
    <w:rsid w:val="0073419A"/>
    <w:rsid w:val="00734204"/>
    <w:rsid w:val="00734460"/>
    <w:rsid w:val="00734FF6"/>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451C"/>
    <w:rsid w:val="00754650"/>
    <w:rsid w:val="00754741"/>
    <w:rsid w:val="00754D03"/>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A60"/>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E7C6D"/>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0D"/>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8FA"/>
    <w:rsid w:val="00811993"/>
    <w:rsid w:val="00811A27"/>
    <w:rsid w:val="008120EF"/>
    <w:rsid w:val="00812389"/>
    <w:rsid w:val="008124E0"/>
    <w:rsid w:val="00812570"/>
    <w:rsid w:val="0081284C"/>
    <w:rsid w:val="00812BC1"/>
    <w:rsid w:val="00812F61"/>
    <w:rsid w:val="008140F3"/>
    <w:rsid w:val="0081417A"/>
    <w:rsid w:val="0081468A"/>
    <w:rsid w:val="0081489A"/>
    <w:rsid w:val="008149E0"/>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A"/>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0C98"/>
    <w:rsid w:val="00831136"/>
    <w:rsid w:val="008312D7"/>
    <w:rsid w:val="00831844"/>
    <w:rsid w:val="00831A67"/>
    <w:rsid w:val="00831A7F"/>
    <w:rsid w:val="00831D76"/>
    <w:rsid w:val="00832977"/>
    <w:rsid w:val="00832CF3"/>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728"/>
    <w:rsid w:val="00875A70"/>
    <w:rsid w:val="00875BFB"/>
    <w:rsid w:val="0087697D"/>
    <w:rsid w:val="00876B5F"/>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ACB"/>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6FAD"/>
    <w:rsid w:val="008970E9"/>
    <w:rsid w:val="008974F3"/>
    <w:rsid w:val="00897852"/>
    <w:rsid w:val="00897A01"/>
    <w:rsid w:val="00897D8B"/>
    <w:rsid w:val="00897FA5"/>
    <w:rsid w:val="008A02FD"/>
    <w:rsid w:val="008A0ADC"/>
    <w:rsid w:val="008A113F"/>
    <w:rsid w:val="008A1BC5"/>
    <w:rsid w:val="008A1D59"/>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48F"/>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A19"/>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5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8D"/>
    <w:rsid w:val="008E44CF"/>
    <w:rsid w:val="008E46C3"/>
    <w:rsid w:val="008E4AD0"/>
    <w:rsid w:val="008E4F1A"/>
    <w:rsid w:val="008E5484"/>
    <w:rsid w:val="008E56F0"/>
    <w:rsid w:val="008E5967"/>
    <w:rsid w:val="008E62EE"/>
    <w:rsid w:val="008E6AD8"/>
    <w:rsid w:val="008E6AF6"/>
    <w:rsid w:val="008E6D6F"/>
    <w:rsid w:val="008E711E"/>
    <w:rsid w:val="008E7264"/>
    <w:rsid w:val="008E742A"/>
    <w:rsid w:val="008F056F"/>
    <w:rsid w:val="008F06DC"/>
    <w:rsid w:val="008F071D"/>
    <w:rsid w:val="008F0A5A"/>
    <w:rsid w:val="008F0C43"/>
    <w:rsid w:val="008F0DF6"/>
    <w:rsid w:val="008F15C0"/>
    <w:rsid w:val="008F167E"/>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18E"/>
    <w:rsid w:val="008F64D9"/>
    <w:rsid w:val="008F6B45"/>
    <w:rsid w:val="008F6CC6"/>
    <w:rsid w:val="008F7AB3"/>
    <w:rsid w:val="008F7AB6"/>
    <w:rsid w:val="008F7D8F"/>
    <w:rsid w:val="008F7F37"/>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D7"/>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18"/>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03"/>
    <w:rsid w:val="009625AD"/>
    <w:rsid w:val="009629D0"/>
    <w:rsid w:val="00963078"/>
    <w:rsid w:val="00963BE5"/>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9D7"/>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6D7B"/>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7C9"/>
    <w:rsid w:val="0098396C"/>
    <w:rsid w:val="00983BF6"/>
    <w:rsid w:val="00983D0E"/>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23"/>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A4"/>
    <w:rsid w:val="00A175E8"/>
    <w:rsid w:val="00A200D6"/>
    <w:rsid w:val="00A204CB"/>
    <w:rsid w:val="00A20DAE"/>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5FF8"/>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56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760"/>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5ED9"/>
    <w:rsid w:val="00AB600F"/>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9A"/>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354"/>
    <w:rsid w:val="00AE356D"/>
    <w:rsid w:val="00AE35EC"/>
    <w:rsid w:val="00AE3740"/>
    <w:rsid w:val="00AE3B3B"/>
    <w:rsid w:val="00AE3FB9"/>
    <w:rsid w:val="00AE409E"/>
    <w:rsid w:val="00AE44EA"/>
    <w:rsid w:val="00AE48C4"/>
    <w:rsid w:val="00AE4F88"/>
    <w:rsid w:val="00AE5101"/>
    <w:rsid w:val="00AE518D"/>
    <w:rsid w:val="00AE56CB"/>
    <w:rsid w:val="00AE56CF"/>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A6C"/>
    <w:rsid w:val="00B04D67"/>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8FA"/>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6B6F"/>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31C9"/>
    <w:rsid w:val="00B53614"/>
    <w:rsid w:val="00B53A05"/>
    <w:rsid w:val="00B53B14"/>
    <w:rsid w:val="00B53BF1"/>
    <w:rsid w:val="00B53C0C"/>
    <w:rsid w:val="00B53F47"/>
    <w:rsid w:val="00B53F71"/>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77FB1"/>
    <w:rsid w:val="00B803E6"/>
    <w:rsid w:val="00B80B80"/>
    <w:rsid w:val="00B80D8C"/>
    <w:rsid w:val="00B80DCD"/>
    <w:rsid w:val="00B81259"/>
    <w:rsid w:val="00B81893"/>
    <w:rsid w:val="00B819F4"/>
    <w:rsid w:val="00B81F3F"/>
    <w:rsid w:val="00B81F83"/>
    <w:rsid w:val="00B8201A"/>
    <w:rsid w:val="00B8220D"/>
    <w:rsid w:val="00B823DF"/>
    <w:rsid w:val="00B826A9"/>
    <w:rsid w:val="00B82819"/>
    <w:rsid w:val="00B828ED"/>
    <w:rsid w:val="00B82FE5"/>
    <w:rsid w:val="00B83567"/>
    <w:rsid w:val="00B83685"/>
    <w:rsid w:val="00B83CA6"/>
    <w:rsid w:val="00B83FF2"/>
    <w:rsid w:val="00B842AB"/>
    <w:rsid w:val="00B84839"/>
    <w:rsid w:val="00B849A4"/>
    <w:rsid w:val="00B84BA1"/>
    <w:rsid w:val="00B84BB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03A"/>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289"/>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699E"/>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288"/>
    <w:rsid w:val="00BD2348"/>
    <w:rsid w:val="00BD2AD9"/>
    <w:rsid w:val="00BD2DA4"/>
    <w:rsid w:val="00BD312C"/>
    <w:rsid w:val="00BD3237"/>
    <w:rsid w:val="00BD3273"/>
    <w:rsid w:val="00BD34F3"/>
    <w:rsid w:val="00BD3C15"/>
    <w:rsid w:val="00BD4318"/>
    <w:rsid w:val="00BD4462"/>
    <w:rsid w:val="00BD4A06"/>
    <w:rsid w:val="00BD4DF1"/>
    <w:rsid w:val="00BD4E69"/>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CC8"/>
    <w:rsid w:val="00BE6E94"/>
    <w:rsid w:val="00BE7193"/>
    <w:rsid w:val="00BE72A3"/>
    <w:rsid w:val="00BE76C8"/>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882"/>
    <w:rsid w:val="00BF3B3F"/>
    <w:rsid w:val="00BF3C0A"/>
    <w:rsid w:val="00BF3D04"/>
    <w:rsid w:val="00BF4213"/>
    <w:rsid w:val="00BF4360"/>
    <w:rsid w:val="00BF43AE"/>
    <w:rsid w:val="00BF4A65"/>
    <w:rsid w:val="00BF4B3A"/>
    <w:rsid w:val="00BF53D8"/>
    <w:rsid w:val="00BF56D6"/>
    <w:rsid w:val="00BF575D"/>
    <w:rsid w:val="00BF5A45"/>
    <w:rsid w:val="00BF5CEE"/>
    <w:rsid w:val="00BF6158"/>
    <w:rsid w:val="00BF6503"/>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5F6B"/>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DF"/>
    <w:rsid w:val="00C212F9"/>
    <w:rsid w:val="00C213AC"/>
    <w:rsid w:val="00C2152B"/>
    <w:rsid w:val="00C21570"/>
    <w:rsid w:val="00C2168F"/>
    <w:rsid w:val="00C21715"/>
    <w:rsid w:val="00C21966"/>
    <w:rsid w:val="00C21DDF"/>
    <w:rsid w:val="00C224CB"/>
    <w:rsid w:val="00C2272F"/>
    <w:rsid w:val="00C227A1"/>
    <w:rsid w:val="00C22881"/>
    <w:rsid w:val="00C23389"/>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1D19"/>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28D9"/>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3DE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28B"/>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2FB3"/>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2BD"/>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119"/>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1FB0"/>
    <w:rsid w:val="00CE247A"/>
    <w:rsid w:val="00CE259F"/>
    <w:rsid w:val="00CE2882"/>
    <w:rsid w:val="00CE28BA"/>
    <w:rsid w:val="00CE2CFF"/>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658"/>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757"/>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D1E"/>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AAF"/>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EA6"/>
    <w:rsid w:val="00D80F42"/>
    <w:rsid w:val="00D815CA"/>
    <w:rsid w:val="00D81B5C"/>
    <w:rsid w:val="00D81BB7"/>
    <w:rsid w:val="00D82314"/>
    <w:rsid w:val="00D824AC"/>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882"/>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86"/>
    <w:rsid w:val="00DE50C7"/>
    <w:rsid w:val="00DE54EB"/>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798"/>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2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582"/>
    <w:rsid w:val="00E067B9"/>
    <w:rsid w:val="00E06B36"/>
    <w:rsid w:val="00E06C8B"/>
    <w:rsid w:val="00E06D9F"/>
    <w:rsid w:val="00E0703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A71"/>
    <w:rsid w:val="00E61D8E"/>
    <w:rsid w:val="00E62366"/>
    <w:rsid w:val="00E627D9"/>
    <w:rsid w:val="00E62D5A"/>
    <w:rsid w:val="00E63207"/>
    <w:rsid w:val="00E63920"/>
    <w:rsid w:val="00E63CE4"/>
    <w:rsid w:val="00E63CF8"/>
    <w:rsid w:val="00E63E1D"/>
    <w:rsid w:val="00E63EEE"/>
    <w:rsid w:val="00E64161"/>
    <w:rsid w:val="00E6446C"/>
    <w:rsid w:val="00E645C9"/>
    <w:rsid w:val="00E64ACB"/>
    <w:rsid w:val="00E65372"/>
    <w:rsid w:val="00E653FF"/>
    <w:rsid w:val="00E659B8"/>
    <w:rsid w:val="00E65BB7"/>
    <w:rsid w:val="00E65F7F"/>
    <w:rsid w:val="00E6669D"/>
    <w:rsid w:val="00E671B1"/>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2A3"/>
    <w:rsid w:val="00E75521"/>
    <w:rsid w:val="00E75B89"/>
    <w:rsid w:val="00E7616C"/>
    <w:rsid w:val="00E76600"/>
    <w:rsid w:val="00E7693C"/>
    <w:rsid w:val="00E769EC"/>
    <w:rsid w:val="00E76C12"/>
    <w:rsid w:val="00E76D35"/>
    <w:rsid w:val="00E773AD"/>
    <w:rsid w:val="00E779FB"/>
    <w:rsid w:val="00E77DBE"/>
    <w:rsid w:val="00E80D70"/>
    <w:rsid w:val="00E81779"/>
    <w:rsid w:val="00E819A3"/>
    <w:rsid w:val="00E821AF"/>
    <w:rsid w:val="00E825CE"/>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B68"/>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213"/>
    <w:rsid w:val="00EA777C"/>
    <w:rsid w:val="00EA78B4"/>
    <w:rsid w:val="00EA7BF3"/>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632"/>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9AB"/>
    <w:rsid w:val="00EE4BD1"/>
    <w:rsid w:val="00EE4D7F"/>
    <w:rsid w:val="00EE4DA5"/>
    <w:rsid w:val="00EE4F24"/>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0D9"/>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7FD"/>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98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784"/>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551"/>
    <w:rsid w:val="00F96BA4"/>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376"/>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98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0B3"/>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E1A"/>
    <w:rsid w:val="00FF2FF1"/>
    <w:rsid w:val="00FF3040"/>
    <w:rsid w:val="00FF3457"/>
    <w:rsid w:val="00FF36B7"/>
    <w:rsid w:val="00FF3DE1"/>
    <w:rsid w:val="00FF4090"/>
    <w:rsid w:val="00FF40B7"/>
    <w:rsid w:val="00FF468D"/>
    <w:rsid w:val="00FF5053"/>
    <w:rsid w:val="00FF595A"/>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C51"/>
    <w:rPr>
      <w:rFonts w:eastAsia="Times New Roman"/>
      <w:sz w:val="24"/>
      <w:szCs w:val="24"/>
      <w:lang w:val="en-C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lang w:val="en-GB"/>
    </w:rPr>
  </w:style>
  <w:style w:type="paragraph" w:customStyle="1" w:styleId="3GPPHeaderArial">
    <w:name w:val="3GPP_Header + Arial"/>
    <w:basedOn w:val="Normal"/>
    <w:rPr>
      <w:rFonts w:ascii="Arial" w:eastAsia="PMingLiU" w:hAnsi="Arial" w:cs="Arial"/>
    </w:rPr>
  </w:style>
  <w:style w:type="paragraph" w:customStyle="1" w:styleId="Agreement">
    <w:name w:val="Agreement"/>
    <w:basedOn w:val="Normal"/>
    <w:next w:val="Doc-text2"/>
    <w:uiPriority w:val="99"/>
    <w:qFormat/>
    <w:pPr>
      <w:numPr>
        <w:numId w:val="4"/>
      </w:numPr>
      <w:spacing w:before="60"/>
    </w:pPr>
    <w:rPr>
      <w:rFonts w:ascii="Arial" w:hAnsi="Arial"/>
      <w:b/>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lang w:val="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69874">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66223787">
      <w:bodyDiv w:val="1"/>
      <w:marLeft w:val="0"/>
      <w:marRight w:val="0"/>
      <w:marTop w:val="0"/>
      <w:marBottom w:val="0"/>
      <w:divBdr>
        <w:top w:val="none" w:sz="0" w:space="0" w:color="auto"/>
        <w:left w:val="none" w:sz="0" w:space="0" w:color="auto"/>
        <w:bottom w:val="none" w:sz="0" w:space="0" w:color="auto"/>
        <w:right w:val="none" w:sz="0" w:space="0" w:color="auto"/>
      </w:divBdr>
    </w:div>
    <w:div w:id="96483880">
      <w:bodyDiv w:val="1"/>
      <w:marLeft w:val="0"/>
      <w:marRight w:val="0"/>
      <w:marTop w:val="0"/>
      <w:marBottom w:val="0"/>
      <w:divBdr>
        <w:top w:val="none" w:sz="0" w:space="0" w:color="auto"/>
        <w:left w:val="none" w:sz="0" w:space="0" w:color="auto"/>
        <w:bottom w:val="none" w:sz="0" w:space="0" w:color="auto"/>
        <w:right w:val="none" w:sz="0" w:space="0" w:color="auto"/>
      </w:divBdr>
    </w:div>
    <w:div w:id="103624519">
      <w:bodyDiv w:val="1"/>
      <w:marLeft w:val="0"/>
      <w:marRight w:val="0"/>
      <w:marTop w:val="0"/>
      <w:marBottom w:val="0"/>
      <w:divBdr>
        <w:top w:val="none" w:sz="0" w:space="0" w:color="auto"/>
        <w:left w:val="none" w:sz="0" w:space="0" w:color="auto"/>
        <w:bottom w:val="none" w:sz="0" w:space="0" w:color="auto"/>
        <w:right w:val="none" w:sz="0" w:space="0" w:color="auto"/>
      </w:divBdr>
      <w:divsChild>
        <w:div w:id="1721788191">
          <w:marLeft w:val="0"/>
          <w:marRight w:val="0"/>
          <w:marTop w:val="0"/>
          <w:marBottom w:val="0"/>
          <w:divBdr>
            <w:top w:val="none" w:sz="0" w:space="0" w:color="auto"/>
            <w:left w:val="none" w:sz="0" w:space="0" w:color="auto"/>
            <w:bottom w:val="none" w:sz="0" w:space="0" w:color="auto"/>
            <w:right w:val="none" w:sz="0" w:space="0" w:color="auto"/>
          </w:divBdr>
        </w:div>
      </w:divsChild>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05396129">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06113149">
      <w:bodyDiv w:val="1"/>
      <w:marLeft w:val="0"/>
      <w:marRight w:val="0"/>
      <w:marTop w:val="0"/>
      <w:marBottom w:val="0"/>
      <w:divBdr>
        <w:top w:val="none" w:sz="0" w:space="0" w:color="auto"/>
        <w:left w:val="none" w:sz="0" w:space="0" w:color="auto"/>
        <w:bottom w:val="none" w:sz="0" w:space="0" w:color="auto"/>
        <w:right w:val="none" w:sz="0" w:space="0" w:color="auto"/>
      </w:divBdr>
    </w:div>
    <w:div w:id="251204130">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279920082">
      <w:bodyDiv w:val="1"/>
      <w:marLeft w:val="0"/>
      <w:marRight w:val="0"/>
      <w:marTop w:val="0"/>
      <w:marBottom w:val="0"/>
      <w:divBdr>
        <w:top w:val="none" w:sz="0" w:space="0" w:color="auto"/>
        <w:left w:val="none" w:sz="0" w:space="0" w:color="auto"/>
        <w:bottom w:val="none" w:sz="0" w:space="0" w:color="auto"/>
        <w:right w:val="none" w:sz="0" w:space="0" w:color="auto"/>
      </w:divBdr>
    </w:div>
    <w:div w:id="352920582">
      <w:bodyDiv w:val="1"/>
      <w:marLeft w:val="0"/>
      <w:marRight w:val="0"/>
      <w:marTop w:val="0"/>
      <w:marBottom w:val="0"/>
      <w:divBdr>
        <w:top w:val="none" w:sz="0" w:space="0" w:color="auto"/>
        <w:left w:val="none" w:sz="0" w:space="0" w:color="auto"/>
        <w:bottom w:val="none" w:sz="0" w:space="0" w:color="auto"/>
        <w:right w:val="none" w:sz="0" w:space="0" w:color="auto"/>
      </w:divBdr>
    </w:div>
    <w:div w:id="421685693">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598955287">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80883226">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26626656">
      <w:bodyDiv w:val="1"/>
      <w:marLeft w:val="0"/>
      <w:marRight w:val="0"/>
      <w:marTop w:val="0"/>
      <w:marBottom w:val="0"/>
      <w:divBdr>
        <w:top w:val="none" w:sz="0" w:space="0" w:color="auto"/>
        <w:left w:val="none" w:sz="0" w:space="0" w:color="auto"/>
        <w:bottom w:val="none" w:sz="0" w:space="0" w:color="auto"/>
        <w:right w:val="none" w:sz="0" w:space="0" w:color="auto"/>
      </w:divBdr>
    </w:div>
    <w:div w:id="847988687">
      <w:bodyDiv w:val="1"/>
      <w:marLeft w:val="0"/>
      <w:marRight w:val="0"/>
      <w:marTop w:val="0"/>
      <w:marBottom w:val="0"/>
      <w:divBdr>
        <w:top w:val="none" w:sz="0" w:space="0" w:color="auto"/>
        <w:left w:val="none" w:sz="0" w:space="0" w:color="auto"/>
        <w:bottom w:val="none" w:sz="0" w:space="0" w:color="auto"/>
        <w:right w:val="none" w:sz="0" w:space="0" w:color="auto"/>
      </w:divBdr>
    </w:div>
    <w:div w:id="1039084097">
      <w:bodyDiv w:val="1"/>
      <w:marLeft w:val="0"/>
      <w:marRight w:val="0"/>
      <w:marTop w:val="0"/>
      <w:marBottom w:val="0"/>
      <w:divBdr>
        <w:top w:val="none" w:sz="0" w:space="0" w:color="auto"/>
        <w:left w:val="none" w:sz="0" w:space="0" w:color="auto"/>
        <w:bottom w:val="none" w:sz="0" w:space="0" w:color="auto"/>
        <w:right w:val="none" w:sz="0" w:space="0" w:color="auto"/>
      </w:divBdr>
    </w:div>
    <w:div w:id="1041324325">
      <w:bodyDiv w:val="1"/>
      <w:marLeft w:val="0"/>
      <w:marRight w:val="0"/>
      <w:marTop w:val="0"/>
      <w:marBottom w:val="0"/>
      <w:divBdr>
        <w:top w:val="none" w:sz="0" w:space="0" w:color="auto"/>
        <w:left w:val="none" w:sz="0" w:space="0" w:color="auto"/>
        <w:bottom w:val="none" w:sz="0" w:space="0" w:color="auto"/>
        <w:right w:val="none" w:sz="0" w:space="0" w:color="auto"/>
      </w:divBdr>
      <w:divsChild>
        <w:div w:id="1064986915">
          <w:marLeft w:val="0"/>
          <w:marRight w:val="0"/>
          <w:marTop w:val="0"/>
          <w:marBottom w:val="0"/>
          <w:divBdr>
            <w:top w:val="none" w:sz="0" w:space="0" w:color="auto"/>
            <w:left w:val="none" w:sz="0" w:space="0" w:color="auto"/>
            <w:bottom w:val="none" w:sz="0" w:space="0" w:color="auto"/>
            <w:right w:val="none" w:sz="0" w:space="0" w:color="auto"/>
          </w:divBdr>
        </w:div>
      </w:divsChild>
    </w:div>
    <w:div w:id="1056783374">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82332530">
      <w:bodyDiv w:val="1"/>
      <w:marLeft w:val="0"/>
      <w:marRight w:val="0"/>
      <w:marTop w:val="0"/>
      <w:marBottom w:val="0"/>
      <w:divBdr>
        <w:top w:val="none" w:sz="0" w:space="0" w:color="auto"/>
        <w:left w:val="none" w:sz="0" w:space="0" w:color="auto"/>
        <w:bottom w:val="none" w:sz="0" w:space="0" w:color="auto"/>
        <w:right w:val="none" w:sz="0" w:space="0" w:color="auto"/>
      </w:divBdr>
    </w:div>
    <w:div w:id="1251768520">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3554303">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33444490">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 w:id="2100253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18</cp:revision>
  <cp:lastPrinted>2007-12-21T11:58:00Z</cp:lastPrinted>
  <dcterms:created xsi:type="dcterms:W3CDTF">2025-05-08T12:59:00Z</dcterms:created>
  <dcterms:modified xsi:type="dcterms:W3CDTF">2025-05-09T15:13:00Z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